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eastAsia="宋体" w:cs="Times New Roman"/>
          <w:b/>
          <w:bCs/>
          <w:color w:val="auto"/>
          <w:spacing w:val="28"/>
          <w:sz w:val="40"/>
          <w:szCs w:val="40"/>
        </w:rPr>
      </w:pPr>
      <w:bookmarkStart w:id="0" w:name="_Hlk8504611"/>
    </w:p>
    <w:p>
      <w:pPr>
        <w:jc w:val="center"/>
        <w:outlineLvl w:val="0"/>
        <w:rPr>
          <w:rFonts w:hint="eastAsia" w:ascii="Times New Roman" w:hAnsi="Times New Roman" w:eastAsia="宋体" w:cs="Times New Roman"/>
          <w:b/>
          <w:bCs/>
          <w:color w:val="auto"/>
          <w:spacing w:val="28"/>
          <w:sz w:val="52"/>
          <w:szCs w:val="52"/>
          <w:lang w:eastAsia="zh-CN"/>
        </w:rPr>
      </w:pPr>
      <w:bookmarkStart w:id="1" w:name="_Toc22774"/>
      <w:r>
        <w:rPr>
          <w:rFonts w:hint="eastAsia" w:ascii="Times New Roman" w:hAnsi="Times New Roman" w:eastAsia="宋体" w:cs="Times New Roman"/>
          <w:b/>
          <w:bCs/>
          <w:color w:val="auto"/>
          <w:spacing w:val="28"/>
          <w:sz w:val="52"/>
          <w:szCs w:val="52"/>
          <w:lang w:eastAsia="zh-CN"/>
        </w:rPr>
        <w:t>湘西高新技术产业开发区</w:t>
      </w:r>
      <w:bookmarkEnd w:id="1"/>
    </w:p>
    <w:p>
      <w:pPr>
        <w:jc w:val="center"/>
        <w:outlineLvl w:val="0"/>
        <w:rPr>
          <w:rFonts w:ascii="Times New Roman" w:hAnsi="Times New Roman" w:eastAsia="宋体" w:cs="Times New Roman"/>
          <w:b/>
          <w:bCs/>
          <w:color w:val="auto"/>
          <w:spacing w:val="28"/>
          <w:sz w:val="52"/>
          <w:szCs w:val="52"/>
        </w:rPr>
      </w:pPr>
      <w:bookmarkStart w:id="2" w:name="_Toc1756"/>
      <w:r>
        <w:rPr>
          <w:rFonts w:ascii="Times New Roman" w:hAnsi="Times New Roman" w:eastAsia="宋体" w:cs="Times New Roman"/>
          <w:b/>
          <w:bCs/>
          <w:color w:val="auto"/>
          <w:spacing w:val="28"/>
          <w:sz w:val="52"/>
          <w:szCs w:val="52"/>
        </w:rPr>
        <w:t>生态环境管理202</w:t>
      </w:r>
      <w:r>
        <w:rPr>
          <w:rFonts w:hint="eastAsia" w:ascii="Times New Roman" w:hAnsi="Times New Roman" w:eastAsia="宋体" w:cs="Times New Roman"/>
          <w:b/>
          <w:bCs/>
          <w:color w:val="auto"/>
          <w:spacing w:val="28"/>
          <w:sz w:val="52"/>
          <w:szCs w:val="52"/>
          <w:lang w:val="en-US" w:eastAsia="zh-CN"/>
        </w:rPr>
        <w:t>5</w:t>
      </w:r>
      <w:r>
        <w:rPr>
          <w:rFonts w:ascii="Times New Roman" w:hAnsi="Times New Roman" w:eastAsia="宋体" w:cs="Times New Roman"/>
          <w:b/>
          <w:bCs/>
          <w:color w:val="auto"/>
          <w:spacing w:val="28"/>
          <w:sz w:val="52"/>
          <w:szCs w:val="52"/>
        </w:rPr>
        <w:t>年度</w:t>
      </w:r>
      <w:bookmarkEnd w:id="2"/>
    </w:p>
    <w:p>
      <w:pPr>
        <w:jc w:val="center"/>
        <w:rPr>
          <w:rFonts w:ascii="Times New Roman" w:hAnsi="Times New Roman" w:eastAsia="宋体" w:cs="Times New Roman"/>
          <w:b/>
          <w:bCs/>
          <w:color w:val="auto"/>
          <w:spacing w:val="28"/>
          <w:sz w:val="52"/>
          <w:szCs w:val="52"/>
        </w:rPr>
      </w:pPr>
    </w:p>
    <w:p>
      <w:pPr>
        <w:jc w:val="center"/>
        <w:rPr>
          <w:rFonts w:ascii="Times New Roman" w:hAnsi="Times New Roman" w:eastAsia="宋体" w:cs="Times New Roman"/>
          <w:b/>
          <w:bCs/>
          <w:color w:val="auto"/>
          <w:spacing w:val="28"/>
          <w:sz w:val="52"/>
          <w:szCs w:val="52"/>
        </w:rPr>
      </w:pPr>
    </w:p>
    <w:p>
      <w:pPr>
        <w:jc w:val="center"/>
        <w:outlineLvl w:val="0"/>
        <w:rPr>
          <w:rFonts w:ascii="Times New Roman" w:hAnsi="Times New Roman" w:eastAsia="宋体" w:cs="Times New Roman"/>
          <w:b/>
          <w:bCs/>
          <w:color w:val="auto"/>
          <w:spacing w:val="28"/>
          <w:sz w:val="84"/>
          <w:szCs w:val="84"/>
        </w:rPr>
      </w:pPr>
      <w:bookmarkStart w:id="3" w:name="_Toc27719"/>
      <w:r>
        <w:rPr>
          <w:rFonts w:ascii="Times New Roman" w:hAnsi="Times New Roman" w:eastAsia="宋体" w:cs="Times New Roman"/>
          <w:b/>
          <w:bCs/>
          <w:color w:val="auto"/>
          <w:spacing w:val="28"/>
          <w:sz w:val="84"/>
          <w:szCs w:val="84"/>
        </w:rPr>
        <w:t>自</w:t>
      </w:r>
      <w:bookmarkEnd w:id="3"/>
    </w:p>
    <w:p>
      <w:pPr>
        <w:jc w:val="center"/>
        <w:outlineLvl w:val="0"/>
        <w:rPr>
          <w:rFonts w:ascii="Times New Roman" w:hAnsi="Times New Roman" w:eastAsia="宋体" w:cs="Times New Roman"/>
          <w:b/>
          <w:bCs/>
          <w:color w:val="auto"/>
          <w:spacing w:val="28"/>
          <w:sz w:val="84"/>
          <w:szCs w:val="84"/>
        </w:rPr>
      </w:pPr>
      <w:bookmarkStart w:id="4" w:name="_Toc15525"/>
      <w:r>
        <w:rPr>
          <w:rFonts w:ascii="Times New Roman" w:hAnsi="Times New Roman" w:eastAsia="宋体" w:cs="Times New Roman"/>
          <w:b/>
          <w:bCs/>
          <w:color w:val="auto"/>
          <w:spacing w:val="28"/>
          <w:sz w:val="84"/>
          <w:szCs w:val="84"/>
        </w:rPr>
        <w:t>评</w:t>
      </w:r>
      <w:bookmarkEnd w:id="4"/>
    </w:p>
    <w:p>
      <w:pPr>
        <w:jc w:val="center"/>
        <w:outlineLvl w:val="0"/>
        <w:rPr>
          <w:rFonts w:ascii="Times New Roman" w:hAnsi="Times New Roman" w:eastAsia="宋体" w:cs="Times New Roman"/>
          <w:b/>
          <w:bCs/>
          <w:color w:val="auto"/>
          <w:spacing w:val="28"/>
          <w:sz w:val="84"/>
          <w:szCs w:val="84"/>
        </w:rPr>
      </w:pPr>
      <w:bookmarkStart w:id="5" w:name="_Toc8155"/>
      <w:r>
        <w:rPr>
          <w:rFonts w:ascii="Times New Roman" w:hAnsi="Times New Roman" w:eastAsia="宋体" w:cs="Times New Roman"/>
          <w:b/>
          <w:bCs/>
          <w:color w:val="auto"/>
          <w:spacing w:val="28"/>
          <w:sz w:val="84"/>
          <w:szCs w:val="84"/>
        </w:rPr>
        <w:t>估</w:t>
      </w:r>
      <w:bookmarkEnd w:id="5"/>
    </w:p>
    <w:p>
      <w:pPr>
        <w:jc w:val="center"/>
        <w:outlineLvl w:val="0"/>
        <w:rPr>
          <w:rFonts w:ascii="Times New Roman" w:hAnsi="Times New Roman" w:eastAsia="宋体" w:cs="Times New Roman"/>
          <w:b/>
          <w:bCs/>
          <w:color w:val="auto"/>
          <w:spacing w:val="28"/>
          <w:sz w:val="84"/>
          <w:szCs w:val="84"/>
        </w:rPr>
      </w:pPr>
      <w:bookmarkStart w:id="6" w:name="_Toc14008"/>
      <w:r>
        <w:rPr>
          <w:rFonts w:ascii="Times New Roman" w:hAnsi="Times New Roman" w:eastAsia="宋体" w:cs="Times New Roman"/>
          <w:b/>
          <w:bCs/>
          <w:color w:val="auto"/>
          <w:spacing w:val="28"/>
          <w:sz w:val="84"/>
          <w:szCs w:val="84"/>
        </w:rPr>
        <w:t>报</w:t>
      </w:r>
      <w:bookmarkEnd w:id="6"/>
    </w:p>
    <w:p>
      <w:pPr>
        <w:jc w:val="center"/>
        <w:rPr>
          <w:rFonts w:ascii="Times New Roman" w:hAnsi="Times New Roman" w:eastAsia="宋体" w:cs="Times New Roman"/>
          <w:b/>
          <w:bCs/>
          <w:color w:val="auto"/>
          <w:spacing w:val="28"/>
          <w:sz w:val="84"/>
          <w:szCs w:val="84"/>
        </w:rPr>
      </w:pPr>
      <w:r>
        <w:rPr>
          <w:rFonts w:ascii="Times New Roman" w:hAnsi="Times New Roman" w:eastAsia="宋体" w:cs="Times New Roman"/>
          <w:b/>
          <w:bCs/>
          <w:color w:val="auto"/>
          <w:spacing w:val="28"/>
          <w:sz w:val="84"/>
          <w:szCs w:val="84"/>
        </w:rPr>
        <w:t>告</w:t>
      </w:r>
    </w:p>
    <w:p>
      <w:pPr>
        <w:pStyle w:val="22"/>
        <w:ind w:left="560" w:firstLine="640"/>
        <w:rPr>
          <w:rFonts w:hint="default"/>
          <w:color w:val="auto"/>
        </w:rPr>
      </w:pPr>
    </w:p>
    <w:p>
      <w:pPr>
        <w:jc w:val="center"/>
        <w:rPr>
          <w:rFonts w:ascii="Times New Roman" w:hAnsi="Times New Roman" w:eastAsia="宋体" w:cs="Times New Roman"/>
          <w:b/>
          <w:bCs/>
          <w:color w:val="auto"/>
          <w:spacing w:val="28"/>
          <w:sz w:val="32"/>
          <w:szCs w:val="32"/>
        </w:rPr>
      </w:pPr>
    </w:p>
    <w:p>
      <w:pPr>
        <w:jc w:val="center"/>
        <w:rPr>
          <w:rFonts w:ascii="Times New Roman" w:hAnsi="Times New Roman" w:eastAsia="宋体" w:cs="Times New Roman"/>
          <w:b/>
          <w:bCs/>
          <w:color w:val="auto"/>
          <w:spacing w:val="28"/>
          <w:sz w:val="32"/>
          <w:szCs w:val="32"/>
        </w:rPr>
      </w:pPr>
    </w:p>
    <w:p>
      <w:pPr>
        <w:jc w:val="center"/>
        <w:rPr>
          <w:rFonts w:ascii="Times New Roman" w:hAnsi="Times New Roman" w:eastAsia="宋体" w:cs="Times New Roman"/>
          <w:b/>
          <w:bCs/>
          <w:color w:val="auto"/>
          <w:spacing w:val="28"/>
          <w:sz w:val="32"/>
          <w:szCs w:val="32"/>
        </w:rPr>
      </w:pPr>
    </w:p>
    <w:p>
      <w:pPr>
        <w:jc w:val="center"/>
        <w:outlineLvl w:val="0"/>
        <w:rPr>
          <w:rFonts w:ascii="Times New Roman" w:hAnsi="Times New Roman" w:eastAsia="仿宋_GB2312" w:cs="Times New Roman"/>
          <w:b/>
          <w:bCs/>
          <w:color w:val="auto"/>
          <w:spacing w:val="28"/>
          <w:sz w:val="32"/>
          <w:szCs w:val="32"/>
        </w:rPr>
      </w:pPr>
      <w:bookmarkStart w:id="7" w:name="_Toc14423"/>
      <w:r>
        <w:rPr>
          <w:rFonts w:hint="eastAsia" w:ascii="Times New Roman" w:hAnsi="Times New Roman" w:eastAsia="宋体" w:cs="Times New Roman"/>
          <w:b/>
          <w:bCs/>
          <w:color w:val="auto"/>
          <w:spacing w:val="28"/>
          <w:sz w:val="32"/>
          <w:szCs w:val="32"/>
          <w:lang w:eastAsia="zh-CN"/>
        </w:rPr>
        <w:t>湘西高新区管理</w:t>
      </w:r>
      <w:r>
        <w:rPr>
          <w:rFonts w:hint="eastAsia" w:ascii="Times New Roman" w:hAnsi="Times New Roman" w:eastAsia="仿宋_GB2312" w:cs="Times New Roman"/>
          <w:b/>
          <w:bCs/>
          <w:color w:val="auto"/>
          <w:spacing w:val="28"/>
          <w:sz w:val="32"/>
          <w:szCs w:val="32"/>
        </w:rPr>
        <w:t>委员会</w:t>
      </w:r>
      <w:bookmarkEnd w:id="7"/>
    </w:p>
    <w:p>
      <w:pPr>
        <w:pStyle w:val="22"/>
        <w:jc w:val="center"/>
        <w:rPr>
          <w:rFonts w:hint="default" w:ascii="Times New Roman" w:hAnsi="Times New Roman" w:eastAsia="仿宋_GB2312" w:cs="Times New Roman"/>
          <w:b/>
          <w:bCs/>
          <w:color w:val="auto"/>
          <w:spacing w:val="28"/>
          <w:sz w:val="32"/>
          <w:szCs w:val="32"/>
        </w:rPr>
        <w:sectPr>
          <w:footerReference r:id="rId3" w:type="default"/>
          <w:pgSz w:w="11906" w:h="16838"/>
          <w:pgMar w:top="1440" w:right="1587" w:bottom="1440" w:left="1587" w:header="851" w:footer="992" w:gutter="0"/>
          <w:pgNumType w:fmt="numberInDash"/>
          <w:cols w:space="720" w:num="1"/>
          <w:docGrid w:type="lines" w:linePitch="312" w:charSpace="0"/>
        </w:sectPr>
      </w:pPr>
      <w:r>
        <w:rPr>
          <w:rFonts w:hint="eastAsia" w:ascii="Times New Roman" w:hAnsi="Times New Roman" w:eastAsia="仿宋_GB2312" w:cs="Times New Roman"/>
          <w:b/>
          <w:bCs/>
          <w:color w:val="auto"/>
          <w:spacing w:val="28"/>
          <w:sz w:val="32"/>
          <w:szCs w:val="32"/>
          <w:lang w:eastAsia="zh-CN"/>
        </w:rPr>
        <w:t>二〇</w:t>
      </w:r>
      <w:r>
        <w:rPr>
          <w:rFonts w:ascii="Times New Roman" w:hAnsi="Times New Roman" w:eastAsia="仿宋_GB2312" w:cs="Times New Roman"/>
          <w:b/>
          <w:bCs/>
          <w:color w:val="auto"/>
          <w:spacing w:val="28"/>
          <w:sz w:val="32"/>
          <w:szCs w:val="32"/>
        </w:rPr>
        <w:t>二</w:t>
      </w:r>
      <w:r>
        <w:rPr>
          <w:rFonts w:hint="eastAsia" w:ascii="Times New Roman" w:hAnsi="Times New Roman" w:eastAsia="仿宋_GB2312" w:cs="Times New Roman"/>
          <w:b/>
          <w:bCs/>
          <w:color w:val="auto"/>
          <w:spacing w:val="28"/>
          <w:sz w:val="32"/>
          <w:szCs w:val="32"/>
          <w:lang w:eastAsia="zh-CN"/>
        </w:rPr>
        <w:t>六年十</w:t>
      </w:r>
      <w:r>
        <w:rPr>
          <w:rFonts w:ascii="Times New Roman" w:hAnsi="Times New Roman" w:eastAsia="仿宋_GB2312" w:cs="Times New Roman"/>
          <w:b/>
          <w:bCs/>
          <w:color w:val="auto"/>
          <w:spacing w:val="28"/>
          <w:sz w:val="32"/>
          <w:szCs w:val="32"/>
        </w:rPr>
        <w:t>月</w:t>
      </w:r>
    </w:p>
    <w:sdt>
      <w:sdtPr>
        <w:rPr>
          <w:rFonts w:ascii="宋体" w:hAnsi="宋体" w:eastAsia="宋体" w:cstheme="minorBidi"/>
          <w:color w:val="auto"/>
          <w:kern w:val="2"/>
          <w:sz w:val="21"/>
          <w:szCs w:val="22"/>
          <w:lang w:val="en-US" w:eastAsia="zh-CN" w:bidi="ar-SA"/>
        </w:rPr>
        <w:id w:val="147451069"/>
        <w15:color w:val="DBDBDB"/>
        <w:docPartObj>
          <w:docPartGallery w:val="Table of Contents"/>
          <w:docPartUnique/>
        </w:docPartObj>
      </w:sdtPr>
      <w:sdtEndPr>
        <w:rPr>
          <w:rFonts w:ascii="仿宋_GB2312" w:hAnsi="仿宋_GB2312" w:eastAsia="仿宋_GB2312" w:cs="仿宋_GB2312"/>
          <w:bCs/>
          <w:color w:val="auto"/>
          <w:spacing w:val="28"/>
          <w:kern w:val="2"/>
          <w:sz w:val="28"/>
          <w:szCs w:val="36"/>
          <w:lang w:val="en-US" w:eastAsia="zh-CN" w:bidi="ar-SA"/>
        </w:rPr>
      </w:sdtEndPr>
      <w:sdtContent>
        <w:p>
          <w:pPr>
            <w:spacing w:before="0" w:beforeLines="0" w:after="0" w:afterLines="0" w:line="360" w:lineRule="auto"/>
            <w:ind w:left="0" w:leftChars="0" w:right="0" w:rightChars="0" w:firstLine="0" w:firstLineChars="0"/>
            <w:jc w:val="center"/>
            <w:rPr>
              <w:rFonts w:ascii="宋体" w:hAnsi="宋体" w:eastAsia="宋体" w:cstheme="minorBidi"/>
              <w:color w:val="auto"/>
              <w:kern w:val="2"/>
              <w:sz w:val="21"/>
              <w:szCs w:val="22"/>
              <w:lang w:val="en-US" w:eastAsia="zh-CN" w:bidi="ar-SA"/>
            </w:rPr>
          </w:pPr>
        </w:p>
        <w:p>
          <w:pPr>
            <w:spacing w:before="0" w:beforeLines="0" w:after="0" w:afterLines="0" w:line="360" w:lineRule="auto"/>
            <w:ind w:left="0" w:leftChars="0" w:right="0" w:rightChars="0" w:firstLine="0" w:firstLineChars="0"/>
            <w:jc w:val="center"/>
            <w:rPr>
              <w:rFonts w:ascii="宋体" w:hAnsi="宋体" w:eastAsia="宋体" w:cstheme="minorBidi"/>
              <w:color w:val="auto"/>
              <w:kern w:val="2"/>
              <w:sz w:val="21"/>
              <w:szCs w:val="22"/>
              <w:lang w:val="en-US" w:eastAsia="zh-CN" w:bidi="ar-SA"/>
            </w:rPr>
          </w:pPr>
        </w:p>
        <w:p>
          <w:pPr>
            <w:spacing w:before="0" w:beforeLines="0" w:after="0" w:afterLines="0" w:line="360" w:lineRule="auto"/>
            <w:ind w:left="0" w:leftChars="0" w:right="0" w:rightChars="0" w:firstLine="0" w:firstLineChars="0"/>
            <w:jc w:val="center"/>
            <w:rPr>
              <w:rFonts w:hint="eastAsia" w:ascii="黑体" w:hAnsi="黑体" w:eastAsia="黑体" w:cs="黑体"/>
              <w:color w:val="auto"/>
              <w:sz w:val="44"/>
              <w:szCs w:val="44"/>
            </w:rPr>
          </w:pPr>
          <w:r>
            <w:rPr>
              <w:rFonts w:hint="eastAsia" w:ascii="黑体" w:hAnsi="黑体" w:eastAsia="黑体" w:cs="黑体"/>
              <w:color w:val="auto"/>
              <w:sz w:val="44"/>
              <w:szCs w:val="44"/>
            </w:rPr>
            <w:t>目录</w:t>
          </w:r>
        </w:p>
        <w:p>
          <w:pPr>
            <w:pStyle w:val="45"/>
            <w:tabs>
              <w:tab w:val="right" w:leader="dot" w:pos="8306"/>
            </w:tabs>
            <w:spacing w:line="360" w:lineRule="auto"/>
            <w:rPr>
              <w:color w:val="auto"/>
            </w:rPr>
          </w:pPr>
          <w:r>
            <w:rPr>
              <w:rFonts w:ascii="仿宋_GB2312" w:hAnsi="仿宋_GB2312" w:eastAsia="仿宋_GB2312" w:cs="仿宋_GB2312"/>
              <w:b/>
              <w:bCs/>
              <w:color w:val="auto"/>
              <w:spacing w:val="28"/>
              <w:sz w:val="36"/>
              <w:szCs w:val="36"/>
            </w:rPr>
            <w:fldChar w:fldCharType="begin"/>
          </w:r>
          <w:r>
            <w:rPr>
              <w:rFonts w:ascii="仿宋_GB2312" w:hAnsi="仿宋_GB2312" w:eastAsia="仿宋_GB2312" w:cs="仿宋_GB2312"/>
              <w:b/>
              <w:bCs/>
              <w:color w:val="auto"/>
              <w:spacing w:val="28"/>
              <w:sz w:val="36"/>
              <w:szCs w:val="36"/>
            </w:rPr>
            <w:instrText xml:space="preserve">TOC \o "1-1" \h \u </w:instrText>
          </w:r>
          <w:r>
            <w:rPr>
              <w:rFonts w:ascii="仿宋_GB2312" w:hAnsi="仿宋_GB2312" w:eastAsia="仿宋_GB2312" w:cs="仿宋_GB2312"/>
              <w:b/>
              <w:bCs/>
              <w:color w:val="auto"/>
              <w:spacing w:val="28"/>
              <w:sz w:val="36"/>
              <w:szCs w:val="36"/>
            </w:rPr>
            <w:fldChar w:fldCharType="separate"/>
          </w:r>
        </w:p>
        <w:p>
          <w:pPr>
            <w:pStyle w:val="45"/>
            <w:tabs>
              <w:tab w:val="right" w:leader="dot" w:pos="8306"/>
            </w:tabs>
            <w:spacing w:line="360" w:lineRule="auto"/>
            <w:rPr>
              <w:color w:val="auto"/>
              <w:sz w:val="32"/>
              <w:szCs w:val="32"/>
            </w:rPr>
          </w:pPr>
          <w:r>
            <w:rPr>
              <w:rFonts w:ascii="仿宋_GB2312" w:hAnsi="仿宋_GB2312" w:eastAsia="仿宋_GB2312" w:cs="仿宋_GB2312"/>
              <w:bCs/>
              <w:color w:val="auto"/>
              <w:spacing w:val="28"/>
              <w:sz w:val="32"/>
              <w:szCs w:val="32"/>
            </w:rPr>
            <w:fldChar w:fldCharType="begin"/>
          </w:r>
          <w:r>
            <w:rPr>
              <w:rFonts w:ascii="仿宋_GB2312" w:hAnsi="仿宋_GB2312" w:eastAsia="仿宋_GB2312" w:cs="仿宋_GB2312"/>
              <w:bCs/>
              <w:color w:val="auto"/>
              <w:spacing w:val="28"/>
              <w:sz w:val="32"/>
              <w:szCs w:val="32"/>
            </w:rPr>
            <w:instrText xml:space="preserve"> HYPERLINK \l _Toc22453 </w:instrText>
          </w:r>
          <w:r>
            <w:rPr>
              <w:rFonts w:ascii="仿宋_GB2312" w:hAnsi="仿宋_GB2312" w:eastAsia="仿宋_GB2312" w:cs="仿宋_GB2312"/>
              <w:bCs/>
              <w:color w:val="auto"/>
              <w:spacing w:val="28"/>
              <w:sz w:val="32"/>
              <w:szCs w:val="32"/>
            </w:rPr>
            <w:fldChar w:fldCharType="separate"/>
          </w:r>
          <w:r>
            <w:rPr>
              <w:rFonts w:hint="eastAsia" w:ascii="Times New Roman" w:hAnsi="Times New Roman" w:eastAsia="黑体" w:cs="黑体"/>
              <w:bCs w:val="0"/>
              <w:color w:val="auto"/>
              <w:sz w:val="32"/>
              <w:szCs w:val="32"/>
            </w:rPr>
            <w:t>一</w:t>
          </w:r>
          <w:r>
            <w:rPr>
              <w:rFonts w:hint="eastAsia" w:ascii="黑体" w:hAnsi="黑体" w:eastAsia="黑体" w:cs="黑体"/>
              <w:color w:val="auto"/>
              <w:sz w:val="32"/>
              <w:szCs w:val="32"/>
            </w:rPr>
            <w:t>、园区概况</w:t>
          </w:r>
          <w:r>
            <w:rPr>
              <w:color w:val="auto"/>
              <w:sz w:val="32"/>
              <w:szCs w:val="32"/>
            </w:rPr>
            <w:tab/>
          </w:r>
          <w:r>
            <w:rPr>
              <w:color w:val="auto"/>
              <w:sz w:val="32"/>
              <w:szCs w:val="32"/>
            </w:rPr>
            <w:fldChar w:fldCharType="begin"/>
          </w:r>
          <w:r>
            <w:rPr>
              <w:color w:val="auto"/>
              <w:sz w:val="32"/>
              <w:szCs w:val="32"/>
            </w:rPr>
            <w:instrText xml:space="preserve"> PAGEREF _Toc22453 \h </w:instrText>
          </w:r>
          <w:r>
            <w:rPr>
              <w:color w:val="auto"/>
              <w:sz w:val="32"/>
              <w:szCs w:val="32"/>
            </w:rPr>
            <w:fldChar w:fldCharType="separate"/>
          </w:r>
          <w:r>
            <w:rPr>
              <w:color w:val="auto"/>
              <w:sz w:val="32"/>
              <w:szCs w:val="32"/>
            </w:rPr>
            <w:t>- 1 -</w:t>
          </w:r>
          <w:r>
            <w:rPr>
              <w:color w:val="auto"/>
              <w:sz w:val="32"/>
              <w:szCs w:val="32"/>
            </w:rPr>
            <w:fldChar w:fldCharType="end"/>
          </w:r>
          <w:r>
            <w:rPr>
              <w:rFonts w:ascii="仿宋_GB2312" w:hAnsi="仿宋_GB2312" w:eastAsia="仿宋_GB2312" w:cs="仿宋_GB2312"/>
              <w:bCs/>
              <w:color w:val="auto"/>
              <w:spacing w:val="28"/>
              <w:sz w:val="32"/>
              <w:szCs w:val="32"/>
            </w:rPr>
            <w:fldChar w:fldCharType="end"/>
          </w:r>
        </w:p>
        <w:p>
          <w:pPr>
            <w:pStyle w:val="45"/>
            <w:tabs>
              <w:tab w:val="right" w:leader="dot" w:pos="8306"/>
            </w:tabs>
            <w:spacing w:line="360" w:lineRule="auto"/>
            <w:rPr>
              <w:color w:val="auto"/>
              <w:sz w:val="32"/>
              <w:szCs w:val="32"/>
            </w:rPr>
          </w:pPr>
          <w:r>
            <w:rPr>
              <w:rFonts w:ascii="仿宋_GB2312" w:hAnsi="仿宋_GB2312" w:eastAsia="仿宋_GB2312" w:cs="仿宋_GB2312"/>
              <w:bCs/>
              <w:color w:val="auto"/>
              <w:spacing w:val="28"/>
              <w:sz w:val="32"/>
              <w:szCs w:val="32"/>
            </w:rPr>
            <w:fldChar w:fldCharType="begin"/>
          </w:r>
          <w:r>
            <w:rPr>
              <w:rFonts w:ascii="仿宋_GB2312" w:hAnsi="仿宋_GB2312" w:eastAsia="仿宋_GB2312" w:cs="仿宋_GB2312"/>
              <w:bCs/>
              <w:color w:val="auto"/>
              <w:spacing w:val="28"/>
              <w:sz w:val="32"/>
              <w:szCs w:val="32"/>
            </w:rPr>
            <w:instrText xml:space="preserve"> HYPERLINK \l _Toc6043 </w:instrText>
          </w:r>
          <w:r>
            <w:rPr>
              <w:rFonts w:ascii="仿宋_GB2312" w:hAnsi="仿宋_GB2312" w:eastAsia="仿宋_GB2312" w:cs="仿宋_GB2312"/>
              <w:bCs/>
              <w:color w:val="auto"/>
              <w:spacing w:val="28"/>
              <w:sz w:val="32"/>
              <w:szCs w:val="32"/>
            </w:rPr>
            <w:fldChar w:fldCharType="separate"/>
          </w:r>
          <w:r>
            <w:rPr>
              <w:rFonts w:hint="eastAsia" w:ascii="黑体" w:hAnsi="黑体" w:eastAsia="黑体" w:cs="黑体"/>
              <w:color w:val="auto"/>
              <w:sz w:val="32"/>
              <w:szCs w:val="32"/>
            </w:rPr>
            <w:t>二、环境管理情况</w:t>
          </w:r>
          <w:r>
            <w:rPr>
              <w:color w:val="auto"/>
              <w:sz w:val="32"/>
              <w:szCs w:val="32"/>
            </w:rPr>
            <w:tab/>
          </w:r>
          <w:r>
            <w:rPr>
              <w:color w:val="auto"/>
              <w:sz w:val="32"/>
              <w:szCs w:val="32"/>
            </w:rPr>
            <w:fldChar w:fldCharType="begin"/>
          </w:r>
          <w:r>
            <w:rPr>
              <w:color w:val="auto"/>
              <w:sz w:val="32"/>
              <w:szCs w:val="32"/>
            </w:rPr>
            <w:instrText xml:space="preserve"> PAGEREF _Toc6043 \h </w:instrText>
          </w:r>
          <w:r>
            <w:rPr>
              <w:color w:val="auto"/>
              <w:sz w:val="32"/>
              <w:szCs w:val="32"/>
            </w:rPr>
            <w:fldChar w:fldCharType="separate"/>
          </w:r>
          <w:r>
            <w:rPr>
              <w:color w:val="auto"/>
              <w:sz w:val="32"/>
              <w:szCs w:val="32"/>
            </w:rPr>
            <w:t>- 3 -</w:t>
          </w:r>
          <w:r>
            <w:rPr>
              <w:color w:val="auto"/>
              <w:sz w:val="32"/>
              <w:szCs w:val="32"/>
            </w:rPr>
            <w:fldChar w:fldCharType="end"/>
          </w:r>
          <w:r>
            <w:rPr>
              <w:rFonts w:ascii="仿宋_GB2312" w:hAnsi="仿宋_GB2312" w:eastAsia="仿宋_GB2312" w:cs="仿宋_GB2312"/>
              <w:bCs/>
              <w:color w:val="auto"/>
              <w:spacing w:val="28"/>
              <w:sz w:val="32"/>
              <w:szCs w:val="32"/>
            </w:rPr>
            <w:fldChar w:fldCharType="end"/>
          </w:r>
        </w:p>
        <w:p>
          <w:pPr>
            <w:pStyle w:val="45"/>
            <w:tabs>
              <w:tab w:val="right" w:leader="dot" w:pos="8306"/>
            </w:tabs>
            <w:spacing w:line="360" w:lineRule="auto"/>
            <w:rPr>
              <w:color w:val="auto"/>
              <w:sz w:val="32"/>
              <w:szCs w:val="32"/>
            </w:rPr>
          </w:pPr>
          <w:r>
            <w:rPr>
              <w:rFonts w:ascii="仿宋_GB2312" w:hAnsi="仿宋_GB2312" w:eastAsia="仿宋_GB2312" w:cs="仿宋_GB2312"/>
              <w:bCs/>
              <w:color w:val="auto"/>
              <w:spacing w:val="28"/>
              <w:sz w:val="32"/>
              <w:szCs w:val="32"/>
            </w:rPr>
            <w:fldChar w:fldCharType="begin"/>
          </w:r>
          <w:r>
            <w:rPr>
              <w:rFonts w:ascii="仿宋_GB2312" w:hAnsi="仿宋_GB2312" w:eastAsia="仿宋_GB2312" w:cs="仿宋_GB2312"/>
              <w:bCs/>
              <w:color w:val="auto"/>
              <w:spacing w:val="28"/>
              <w:sz w:val="32"/>
              <w:szCs w:val="32"/>
            </w:rPr>
            <w:instrText xml:space="preserve"> HYPERLINK \l _Toc21136 </w:instrText>
          </w:r>
          <w:r>
            <w:rPr>
              <w:rFonts w:ascii="仿宋_GB2312" w:hAnsi="仿宋_GB2312" w:eastAsia="仿宋_GB2312" w:cs="仿宋_GB2312"/>
              <w:bCs/>
              <w:color w:val="auto"/>
              <w:spacing w:val="28"/>
              <w:sz w:val="32"/>
              <w:szCs w:val="32"/>
            </w:rPr>
            <w:fldChar w:fldCharType="separate"/>
          </w:r>
          <w:r>
            <w:rPr>
              <w:rFonts w:hint="eastAsia" w:ascii="黑体" w:hAnsi="黑体" w:eastAsia="黑体" w:cs="黑体"/>
              <w:color w:val="auto"/>
              <w:sz w:val="32"/>
              <w:szCs w:val="32"/>
            </w:rPr>
            <w:t>三、园区环保工作成效、主要措施做法</w:t>
          </w:r>
          <w:r>
            <w:rPr>
              <w:color w:val="auto"/>
              <w:sz w:val="32"/>
              <w:szCs w:val="32"/>
            </w:rPr>
            <w:tab/>
          </w:r>
          <w:r>
            <w:rPr>
              <w:color w:val="auto"/>
              <w:sz w:val="32"/>
              <w:szCs w:val="32"/>
            </w:rPr>
            <w:fldChar w:fldCharType="begin"/>
          </w:r>
          <w:r>
            <w:rPr>
              <w:color w:val="auto"/>
              <w:sz w:val="32"/>
              <w:szCs w:val="32"/>
            </w:rPr>
            <w:instrText xml:space="preserve"> PAGEREF _Toc21136 \h </w:instrText>
          </w:r>
          <w:r>
            <w:rPr>
              <w:color w:val="auto"/>
              <w:sz w:val="32"/>
              <w:szCs w:val="32"/>
            </w:rPr>
            <w:fldChar w:fldCharType="separate"/>
          </w:r>
          <w:r>
            <w:rPr>
              <w:color w:val="auto"/>
              <w:sz w:val="32"/>
              <w:szCs w:val="32"/>
            </w:rPr>
            <w:t>- 18 -</w:t>
          </w:r>
          <w:r>
            <w:rPr>
              <w:color w:val="auto"/>
              <w:sz w:val="32"/>
              <w:szCs w:val="32"/>
            </w:rPr>
            <w:fldChar w:fldCharType="end"/>
          </w:r>
          <w:r>
            <w:rPr>
              <w:rFonts w:ascii="仿宋_GB2312" w:hAnsi="仿宋_GB2312" w:eastAsia="仿宋_GB2312" w:cs="仿宋_GB2312"/>
              <w:bCs/>
              <w:color w:val="auto"/>
              <w:spacing w:val="28"/>
              <w:sz w:val="32"/>
              <w:szCs w:val="32"/>
            </w:rPr>
            <w:fldChar w:fldCharType="end"/>
          </w:r>
        </w:p>
        <w:p>
          <w:pPr>
            <w:pStyle w:val="45"/>
            <w:tabs>
              <w:tab w:val="right" w:leader="dot" w:pos="8306"/>
            </w:tabs>
            <w:spacing w:line="360" w:lineRule="auto"/>
            <w:rPr>
              <w:color w:val="auto"/>
              <w:sz w:val="32"/>
              <w:szCs w:val="32"/>
            </w:rPr>
          </w:pPr>
          <w:r>
            <w:rPr>
              <w:rFonts w:ascii="仿宋_GB2312" w:hAnsi="仿宋_GB2312" w:eastAsia="仿宋_GB2312" w:cs="仿宋_GB2312"/>
              <w:bCs/>
              <w:color w:val="auto"/>
              <w:spacing w:val="28"/>
              <w:sz w:val="32"/>
              <w:szCs w:val="32"/>
            </w:rPr>
            <w:fldChar w:fldCharType="begin"/>
          </w:r>
          <w:r>
            <w:rPr>
              <w:rFonts w:ascii="仿宋_GB2312" w:hAnsi="仿宋_GB2312" w:eastAsia="仿宋_GB2312" w:cs="仿宋_GB2312"/>
              <w:bCs/>
              <w:color w:val="auto"/>
              <w:spacing w:val="28"/>
              <w:sz w:val="32"/>
              <w:szCs w:val="32"/>
            </w:rPr>
            <w:instrText xml:space="preserve"> HYPERLINK \l _Toc16145 </w:instrText>
          </w:r>
          <w:r>
            <w:rPr>
              <w:rFonts w:ascii="仿宋_GB2312" w:hAnsi="仿宋_GB2312" w:eastAsia="仿宋_GB2312" w:cs="仿宋_GB2312"/>
              <w:bCs/>
              <w:color w:val="auto"/>
              <w:spacing w:val="28"/>
              <w:sz w:val="32"/>
              <w:szCs w:val="32"/>
            </w:rPr>
            <w:fldChar w:fldCharType="separate"/>
          </w:r>
          <w:r>
            <w:rPr>
              <w:rFonts w:hint="eastAsia" w:ascii="黑体" w:hAnsi="黑体" w:eastAsia="黑体" w:cs="黑体"/>
              <w:color w:val="auto"/>
              <w:sz w:val="32"/>
              <w:szCs w:val="32"/>
            </w:rPr>
            <w:t>四、园区生态环境管理存在主要问题和难题</w:t>
          </w:r>
          <w:r>
            <w:rPr>
              <w:color w:val="auto"/>
              <w:sz w:val="32"/>
              <w:szCs w:val="32"/>
            </w:rPr>
            <w:tab/>
          </w:r>
          <w:r>
            <w:rPr>
              <w:color w:val="auto"/>
              <w:sz w:val="32"/>
              <w:szCs w:val="32"/>
            </w:rPr>
            <w:fldChar w:fldCharType="begin"/>
          </w:r>
          <w:r>
            <w:rPr>
              <w:color w:val="auto"/>
              <w:sz w:val="32"/>
              <w:szCs w:val="32"/>
            </w:rPr>
            <w:instrText xml:space="preserve"> PAGEREF _Toc16145 \h </w:instrText>
          </w:r>
          <w:r>
            <w:rPr>
              <w:color w:val="auto"/>
              <w:sz w:val="32"/>
              <w:szCs w:val="32"/>
            </w:rPr>
            <w:fldChar w:fldCharType="separate"/>
          </w:r>
          <w:r>
            <w:rPr>
              <w:color w:val="auto"/>
              <w:sz w:val="32"/>
              <w:szCs w:val="32"/>
            </w:rPr>
            <w:t>- 19 -</w:t>
          </w:r>
          <w:r>
            <w:rPr>
              <w:color w:val="auto"/>
              <w:sz w:val="32"/>
              <w:szCs w:val="32"/>
            </w:rPr>
            <w:fldChar w:fldCharType="end"/>
          </w:r>
          <w:r>
            <w:rPr>
              <w:rFonts w:ascii="仿宋_GB2312" w:hAnsi="仿宋_GB2312" w:eastAsia="仿宋_GB2312" w:cs="仿宋_GB2312"/>
              <w:bCs/>
              <w:color w:val="auto"/>
              <w:spacing w:val="28"/>
              <w:sz w:val="32"/>
              <w:szCs w:val="32"/>
            </w:rPr>
            <w:fldChar w:fldCharType="end"/>
          </w:r>
        </w:p>
        <w:p>
          <w:pPr>
            <w:pStyle w:val="45"/>
            <w:tabs>
              <w:tab w:val="right" w:leader="dot" w:pos="8306"/>
            </w:tabs>
            <w:spacing w:line="360" w:lineRule="auto"/>
            <w:rPr>
              <w:color w:val="auto"/>
              <w:sz w:val="32"/>
              <w:szCs w:val="32"/>
            </w:rPr>
          </w:pPr>
          <w:r>
            <w:rPr>
              <w:rFonts w:ascii="仿宋_GB2312" w:hAnsi="仿宋_GB2312" w:eastAsia="仿宋_GB2312" w:cs="仿宋_GB2312"/>
              <w:bCs/>
              <w:color w:val="auto"/>
              <w:spacing w:val="28"/>
              <w:sz w:val="32"/>
              <w:szCs w:val="32"/>
            </w:rPr>
            <w:fldChar w:fldCharType="begin"/>
          </w:r>
          <w:r>
            <w:rPr>
              <w:rFonts w:ascii="仿宋_GB2312" w:hAnsi="仿宋_GB2312" w:eastAsia="仿宋_GB2312" w:cs="仿宋_GB2312"/>
              <w:bCs/>
              <w:color w:val="auto"/>
              <w:spacing w:val="28"/>
              <w:sz w:val="32"/>
              <w:szCs w:val="32"/>
            </w:rPr>
            <w:instrText xml:space="preserve"> HYPERLINK \l _Toc30386 </w:instrText>
          </w:r>
          <w:r>
            <w:rPr>
              <w:rFonts w:ascii="仿宋_GB2312" w:hAnsi="仿宋_GB2312" w:eastAsia="仿宋_GB2312" w:cs="仿宋_GB2312"/>
              <w:bCs/>
              <w:color w:val="auto"/>
              <w:spacing w:val="28"/>
              <w:sz w:val="32"/>
              <w:szCs w:val="32"/>
            </w:rPr>
            <w:fldChar w:fldCharType="separate"/>
          </w:r>
          <w:r>
            <w:rPr>
              <w:rFonts w:hint="eastAsia" w:ascii="黑体" w:hAnsi="黑体" w:eastAsia="黑体" w:cs="黑体"/>
              <w:color w:val="auto"/>
              <w:sz w:val="32"/>
              <w:szCs w:val="32"/>
            </w:rPr>
            <w:t>五、下一步工作计划</w:t>
          </w:r>
          <w:r>
            <w:rPr>
              <w:color w:val="auto"/>
              <w:sz w:val="32"/>
              <w:szCs w:val="32"/>
            </w:rPr>
            <w:tab/>
          </w:r>
          <w:r>
            <w:rPr>
              <w:color w:val="auto"/>
              <w:sz w:val="32"/>
              <w:szCs w:val="32"/>
            </w:rPr>
            <w:fldChar w:fldCharType="begin"/>
          </w:r>
          <w:r>
            <w:rPr>
              <w:color w:val="auto"/>
              <w:sz w:val="32"/>
              <w:szCs w:val="32"/>
            </w:rPr>
            <w:instrText xml:space="preserve"> PAGEREF _Toc30386 \h </w:instrText>
          </w:r>
          <w:r>
            <w:rPr>
              <w:color w:val="auto"/>
              <w:sz w:val="32"/>
              <w:szCs w:val="32"/>
            </w:rPr>
            <w:fldChar w:fldCharType="separate"/>
          </w:r>
          <w:r>
            <w:rPr>
              <w:color w:val="auto"/>
              <w:sz w:val="32"/>
              <w:szCs w:val="32"/>
            </w:rPr>
            <w:t>- 20 -</w:t>
          </w:r>
          <w:r>
            <w:rPr>
              <w:color w:val="auto"/>
              <w:sz w:val="32"/>
              <w:szCs w:val="32"/>
            </w:rPr>
            <w:fldChar w:fldCharType="end"/>
          </w:r>
          <w:r>
            <w:rPr>
              <w:rFonts w:ascii="仿宋_GB2312" w:hAnsi="仿宋_GB2312" w:eastAsia="仿宋_GB2312" w:cs="仿宋_GB2312"/>
              <w:bCs/>
              <w:color w:val="auto"/>
              <w:spacing w:val="28"/>
              <w:sz w:val="32"/>
              <w:szCs w:val="32"/>
            </w:rPr>
            <w:fldChar w:fldCharType="end"/>
          </w:r>
        </w:p>
        <w:p>
          <w:pPr>
            <w:spacing w:line="360" w:lineRule="auto"/>
            <w:jc w:val="center"/>
            <w:rPr>
              <w:rFonts w:ascii="仿宋_GB2312" w:hAnsi="仿宋_GB2312" w:eastAsia="仿宋_GB2312" w:cs="仿宋_GB2312"/>
              <w:b/>
              <w:bCs/>
              <w:color w:val="auto"/>
              <w:spacing w:val="28"/>
              <w:sz w:val="36"/>
              <w:szCs w:val="36"/>
            </w:rPr>
          </w:pPr>
          <w:r>
            <w:rPr>
              <w:rFonts w:ascii="仿宋_GB2312" w:hAnsi="仿宋_GB2312" w:eastAsia="仿宋_GB2312" w:cs="仿宋_GB2312"/>
              <w:bCs/>
              <w:color w:val="auto"/>
              <w:spacing w:val="28"/>
              <w:szCs w:val="36"/>
            </w:rPr>
            <w:fldChar w:fldCharType="end"/>
          </w:r>
        </w:p>
      </w:sdtContent>
    </w:sdt>
    <w:p>
      <w:pPr>
        <w:jc w:val="center"/>
        <w:rPr>
          <w:rFonts w:hint="eastAsia" w:ascii="仿宋_GB2312" w:hAnsi="仿宋_GB2312" w:eastAsia="仿宋_GB2312" w:cs="仿宋_GB2312"/>
          <w:color w:val="auto"/>
          <w:spacing w:val="28"/>
          <w:sz w:val="36"/>
          <w:szCs w:val="36"/>
        </w:rPr>
        <w:sectPr>
          <w:footerReference r:id="rId4" w:type="default"/>
          <w:pgSz w:w="11906" w:h="16838"/>
          <w:pgMar w:top="1440" w:right="1800" w:bottom="1440" w:left="1800" w:header="851" w:footer="992"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Times New Roman" w:hAnsi="Times New Roman" w:eastAsia="黑体" w:cs="黑体"/>
          <w:b w:val="0"/>
          <w:bCs w:val="0"/>
          <w:color w:val="auto"/>
          <w:sz w:val="32"/>
          <w:szCs w:val="32"/>
          <w:u w:val="none" w:color="auto"/>
        </w:rPr>
      </w:pPr>
      <w:bookmarkStart w:id="8" w:name="_Toc22453"/>
      <w:r>
        <w:rPr>
          <w:rFonts w:hint="eastAsia" w:ascii="Times New Roman" w:hAnsi="Times New Roman" w:eastAsia="黑体" w:cs="黑体"/>
          <w:b w:val="0"/>
          <w:bCs w:val="0"/>
          <w:color w:val="auto"/>
          <w:sz w:val="32"/>
          <w:szCs w:val="32"/>
          <w:u w:val="none" w:color="auto"/>
        </w:rPr>
        <w:t>一</w:t>
      </w:r>
      <w:r>
        <w:rPr>
          <w:rStyle w:val="44"/>
          <w:rFonts w:hint="eastAsia" w:ascii="黑体" w:hAnsi="黑体" w:eastAsia="黑体" w:cs="黑体"/>
          <w:color w:val="auto"/>
          <w:sz w:val="32"/>
          <w:szCs w:val="32"/>
        </w:rPr>
        <w:t>、园区概况</w:t>
      </w:r>
      <w:bookmarkEnd w:id="8"/>
    </w:p>
    <w:p>
      <w:pPr>
        <w:pStyle w:val="14"/>
        <w:keepNext w:val="0"/>
        <w:keepLines w:val="0"/>
        <w:pageBreakBefore w:val="0"/>
        <w:kinsoku/>
        <w:wordWrap/>
        <w:overflowPunct/>
        <w:topLinePunct w:val="0"/>
        <w:autoSpaceDE/>
        <w:autoSpaceDN/>
        <w:bidi w:val="0"/>
        <w:snapToGrid w:val="0"/>
        <w:spacing w:after="0" w:line="560" w:lineRule="exact"/>
        <w:ind w:left="0" w:leftChars="0" w:firstLine="643"/>
        <w:jc w:val="both"/>
        <w:textAlignment w:val="auto"/>
        <w:outlineLvl w:val="9"/>
        <w:rPr>
          <w:rFonts w:hint="eastAsia" w:ascii="仿宋" w:hAnsi="仿宋" w:eastAsia="仿宋" w:cs="仿宋"/>
          <w:b/>
          <w:bCs/>
          <w:color w:val="auto"/>
          <w:sz w:val="32"/>
          <w:szCs w:val="32"/>
          <w:highlight w:val="none"/>
          <w:u w:val="none" w:color="auto"/>
          <w:lang w:eastAsia="zh-CN"/>
        </w:rPr>
      </w:pPr>
      <w:r>
        <w:rPr>
          <w:rFonts w:hint="eastAsia" w:ascii="仿宋" w:hAnsi="仿宋" w:eastAsia="仿宋" w:cs="仿宋"/>
          <w:b/>
          <w:bCs/>
          <w:color w:val="auto"/>
          <w:sz w:val="32"/>
          <w:szCs w:val="32"/>
          <w:u w:val="none" w:color="auto"/>
        </w:rPr>
        <w:t>（一）</w:t>
      </w:r>
      <w:r>
        <w:rPr>
          <w:rFonts w:hint="eastAsia" w:ascii="仿宋" w:hAnsi="仿宋" w:eastAsia="仿宋" w:cs="仿宋"/>
          <w:b/>
          <w:bCs/>
          <w:color w:val="auto"/>
          <w:sz w:val="32"/>
          <w:szCs w:val="32"/>
          <w:u w:val="none" w:color="auto"/>
          <w:lang w:eastAsia="zh-CN"/>
        </w:rPr>
        <w:t>园区</w:t>
      </w:r>
      <w:r>
        <w:rPr>
          <w:rFonts w:hint="eastAsia" w:ascii="仿宋" w:hAnsi="仿宋" w:eastAsia="仿宋" w:cs="仿宋"/>
          <w:b/>
          <w:bCs/>
          <w:color w:val="auto"/>
          <w:sz w:val="32"/>
          <w:szCs w:val="32"/>
          <w:u w:val="none" w:color="auto"/>
          <w:lang w:val="en-US" w:eastAsia="zh-CN"/>
        </w:rPr>
        <w:t>基本情况</w:t>
      </w:r>
    </w:p>
    <w:p>
      <w:pPr>
        <w:pStyle w:val="14"/>
        <w:keepNext w:val="0"/>
        <w:keepLines w:val="0"/>
        <w:pageBreakBefore w:val="0"/>
        <w:kinsoku/>
        <w:wordWrap/>
        <w:overflowPunct/>
        <w:topLinePunct w:val="0"/>
        <w:autoSpaceDE/>
        <w:autoSpaceDN/>
        <w:bidi w:val="0"/>
        <w:snapToGrid w:val="0"/>
        <w:spacing w:after="0" w:line="560" w:lineRule="exact"/>
        <w:ind w:left="0" w:leftChars="0" w:firstLine="643"/>
        <w:textAlignment w:val="auto"/>
        <w:outlineLvl w:val="9"/>
        <w:rPr>
          <w:rFonts w:hint="default" w:ascii="Times New Roman" w:hAnsi="Times New Roman" w:eastAsia="仿宋" w:cs="Times New Roman"/>
          <w:color w:val="FF0000"/>
          <w:sz w:val="32"/>
          <w:szCs w:val="32"/>
          <w:highlight w:val="none"/>
          <w:u w:val="none" w:color="auto"/>
          <w:lang w:eastAsia="zh-CN"/>
        </w:rPr>
      </w:pPr>
      <w:r>
        <w:rPr>
          <w:rFonts w:hint="default" w:ascii="Times New Roman" w:hAnsi="Times New Roman" w:eastAsia="仿宋" w:cs="Times New Roman"/>
          <w:color w:val="auto"/>
          <w:sz w:val="32"/>
          <w:szCs w:val="32"/>
          <w:highlight w:val="none"/>
          <w:u w:val="none" w:color="auto"/>
          <w:lang w:eastAsia="zh-CN"/>
        </w:rPr>
        <w:t>园区历史沿革和基本情况：湘西高新技术产业开发区位于湘西自治州吉首市、凤凰县的交界处，园区代码</w:t>
      </w:r>
      <w:r>
        <w:rPr>
          <w:rFonts w:hint="default" w:ascii="Times New Roman" w:hAnsi="Times New Roman" w:eastAsia="仿宋" w:cs="Times New Roman"/>
          <w:color w:val="auto"/>
          <w:sz w:val="32"/>
          <w:szCs w:val="32"/>
          <w:highlight w:val="none"/>
          <w:u w:val="none" w:color="auto"/>
          <w:lang w:val="en-US" w:eastAsia="zh-CN"/>
        </w:rPr>
        <w:t>S</w:t>
      </w:r>
      <w:r>
        <w:rPr>
          <w:rFonts w:hint="default" w:ascii="Times New Roman" w:hAnsi="Times New Roman" w:eastAsia="仿宋" w:cs="Times New Roman"/>
          <w:color w:val="auto"/>
          <w:sz w:val="32"/>
          <w:szCs w:val="32"/>
          <w:highlight w:val="none"/>
          <w:u w:val="none" w:color="auto"/>
          <w:lang w:eastAsia="zh-CN"/>
        </w:rPr>
        <w:t>437071，是湘西州委、州政府直接管理的省级高新技术产业开发区。</w:t>
      </w:r>
      <w:r>
        <w:rPr>
          <w:rFonts w:hint="eastAsia" w:ascii="Times New Roman" w:hAnsi="Times New Roman" w:eastAsia="仿宋" w:cs="Times New Roman"/>
          <w:color w:val="auto"/>
          <w:sz w:val="32"/>
          <w:szCs w:val="32"/>
          <w:highlight w:val="none"/>
          <w:u w:val="none" w:color="auto"/>
          <w:lang w:eastAsia="zh-CN"/>
        </w:rPr>
        <w:t>园区</w:t>
      </w:r>
      <w:r>
        <w:rPr>
          <w:rFonts w:hint="default" w:ascii="Times New Roman" w:hAnsi="Times New Roman" w:eastAsia="仿宋" w:cs="Times New Roman"/>
          <w:color w:val="auto"/>
          <w:sz w:val="32"/>
          <w:szCs w:val="32"/>
          <w:highlight w:val="none"/>
          <w:u w:val="none" w:color="auto"/>
          <w:lang w:eastAsia="zh-CN"/>
        </w:rPr>
        <w:t>于2004年开工建设，前身为吉凤工业园；2006年经省人民政府批准设立湘西吉凤经济开发区，2011年经批准更名为湖南湘西经济开发区，并以</w:t>
      </w:r>
      <w:r>
        <w:rPr>
          <w:rFonts w:hint="eastAsia" w:ascii="Times New Roman" w:hAnsi="Times New Roman" w:eastAsia="仿宋" w:cs="Times New Roman"/>
          <w:color w:val="auto"/>
          <w:sz w:val="32"/>
          <w:szCs w:val="32"/>
          <w:highlight w:val="none"/>
          <w:u w:val="none" w:color="auto"/>
          <w:lang w:eastAsia="zh-CN"/>
        </w:rPr>
        <w:t>“</w:t>
      </w:r>
      <w:r>
        <w:rPr>
          <w:rFonts w:hint="default" w:ascii="Times New Roman" w:hAnsi="Times New Roman" w:eastAsia="仿宋" w:cs="Times New Roman"/>
          <w:color w:val="auto"/>
          <w:sz w:val="32"/>
          <w:szCs w:val="32"/>
          <w:highlight w:val="none"/>
          <w:u w:val="none" w:color="auto"/>
          <w:lang w:eastAsia="zh-CN"/>
        </w:rPr>
        <w:t>二级公章</w:t>
      </w:r>
      <w:r>
        <w:rPr>
          <w:rFonts w:hint="eastAsia" w:ascii="Times New Roman" w:hAnsi="Times New Roman" w:eastAsia="仿宋" w:cs="Times New Roman"/>
          <w:color w:val="auto"/>
          <w:sz w:val="32"/>
          <w:szCs w:val="32"/>
          <w:highlight w:val="none"/>
          <w:u w:val="none" w:color="auto"/>
          <w:lang w:eastAsia="zh-CN"/>
        </w:rPr>
        <w:t>”</w:t>
      </w:r>
      <w:r>
        <w:rPr>
          <w:rFonts w:hint="default" w:ascii="Times New Roman" w:hAnsi="Times New Roman" w:eastAsia="仿宋" w:cs="Times New Roman"/>
          <w:color w:val="auto"/>
          <w:sz w:val="32"/>
          <w:szCs w:val="32"/>
          <w:highlight w:val="none"/>
          <w:u w:val="none" w:color="auto"/>
          <w:lang w:eastAsia="zh-CN"/>
        </w:rPr>
        <w:t>行使州级经济管理权限；2019年2月获省政府批准为省级高新技术开发区。园区规划环评批复（含调扩区、跟踪评价）均已完成，规划环评批复文号湘环评〔</w:t>
      </w:r>
      <w:r>
        <w:rPr>
          <w:rFonts w:hint="default" w:ascii="Times New Roman" w:hAnsi="Times New Roman" w:eastAsia="仿宋" w:cs="Times New Roman"/>
          <w:color w:val="auto"/>
          <w:sz w:val="32"/>
          <w:szCs w:val="32"/>
          <w:highlight w:val="none"/>
          <w:u w:val="none" w:color="auto"/>
          <w:lang w:val="en-US" w:eastAsia="zh-CN"/>
        </w:rPr>
        <w:t>2013</w:t>
      </w:r>
      <w:r>
        <w:rPr>
          <w:rFonts w:hint="default" w:ascii="Times New Roman" w:hAnsi="Times New Roman" w:eastAsia="仿宋" w:cs="Times New Roman"/>
          <w:color w:val="auto"/>
          <w:sz w:val="32"/>
          <w:szCs w:val="32"/>
          <w:highlight w:val="none"/>
          <w:u w:val="none" w:color="auto"/>
          <w:lang w:eastAsia="zh-CN"/>
        </w:rPr>
        <w:t>〕314号，</w:t>
      </w:r>
      <w:r>
        <w:rPr>
          <w:rFonts w:hint="default" w:ascii="Times New Roman" w:hAnsi="Times New Roman" w:eastAsia="仿宋" w:cs="Times New Roman"/>
          <w:color w:val="auto"/>
          <w:sz w:val="32"/>
          <w:szCs w:val="32"/>
          <w:highlight w:val="none"/>
          <w:u w:val="none" w:color="auto"/>
          <w:lang w:val="en-US" w:eastAsia="zh-CN"/>
        </w:rPr>
        <w:t>调扩区规划环评审查意见</w:t>
      </w:r>
      <w:r>
        <w:rPr>
          <w:rFonts w:hint="eastAsia" w:ascii="Times New Roman" w:hAnsi="Times New Roman" w:eastAsia="仿宋" w:cs="Times New Roman"/>
          <w:color w:val="auto"/>
          <w:sz w:val="32"/>
          <w:szCs w:val="32"/>
          <w:highlight w:val="none"/>
          <w:u w:val="none" w:color="auto"/>
          <w:lang w:val="en-US" w:eastAsia="zh-CN"/>
        </w:rPr>
        <w:t>为</w:t>
      </w:r>
      <w:r>
        <w:rPr>
          <w:rFonts w:hint="default" w:ascii="Times New Roman" w:hAnsi="Times New Roman" w:eastAsia="仿宋" w:cs="Times New Roman"/>
          <w:color w:val="auto"/>
          <w:sz w:val="32"/>
          <w:szCs w:val="32"/>
          <w:highlight w:val="none"/>
          <w:u w:val="none" w:color="auto"/>
          <w:lang w:eastAsia="zh-CN"/>
        </w:rPr>
        <w:t>湘环评函〔</w:t>
      </w:r>
      <w:r>
        <w:rPr>
          <w:rFonts w:hint="default" w:ascii="Times New Roman" w:hAnsi="Times New Roman" w:eastAsia="仿宋" w:cs="Times New Roman"/>
          <w:color w:val="auto"/>
          <w:sz w:val="32"/>
          <w:szCs w:val="32"/>
          <w:highlight w:val="none"/>
          <w:u w:val="none" w:color="auto"/>
          <w:lang w:val="en-US" w:eastAsia="zh-CN"/>
        </w:rPr>
        <w:t>2024</w:t>
      </w:r>
      <w:r>
        <w:rPr>
          <w:rFonts w:hint="default" w:ascii="Times New Roman" w:hAnsi="Times New Roman" w:eastAsia="仿宋" w:cs="Times New Roman"/>
          <w:color w:val="auto"/>
          <w:sz w:val="32"/>
          <w:szCs w:val="32"/>
          <w:highlight w:val="none"/>
          <w:u w:val="none" w:color="auto"/>
          <w:lang w:eastAsia="zh-CN"/>
        </w:rPr>
        <w:t>〕</w:t>
      </w:r>
      <w:r>
        <w:rPr>
          <w:rFonts w:hint="default" w:ascii="Times New Roman" w:hAnsi="Times New Roman" w:eastAsia="仿宋" w:cs="Times New Roman"/>
          <w:color w:val="auto"/>
          <w:sz w:val="32"/>
          <w:szCs w:val="32"/>
          <w:highlight w:val="none"/>
          <w:u w:val="none" w:color="auto"/>
          <w:lang w:val="en-US" w:eastAsia="zh-CN"/>
        </w:rPr>
        <w:t>45号</w:t>
      </w:r>
      <w:r>
        <w:rPr>
          <w:rFonts w:hint="default" w:ascii="Times New Roman" w:hAnsi="Times New Roman" w:eastAsia="仿宋" w:cs="Times New Roman"/>
          <w:color w:val="auto"/>
          <w:sz w:val="32"/>
          <w:szCs w:val="32"/>
          <w:highlight w:val="none"/>
          <w:u w:val="none" w:color="auto"/>
          <w:lang w:eastAsia="zh-CN"/>
        </w:rPr>
        <w:t>。</w:t>
      </w:r>
      <w:r>
        <w:rPr>
          <w:rFonts w:hint="eastAsia" w:ascii="Times New Roman" w:hAnsi="Times New Roman" w:eastAsia="仿宋" w:cs="Times New Roman"/>
          <w:color w:val="FF0000"/>
          <w:sz w:val="32"/>
          <w:szCs w:val="32"/>
          <w:highlight w:val="none"/>
          <w:u w:val="none" w:color="auto"/>
          <w:lang w:eastAsia="zh-CN"/>
        </w:rPr>
        <w:t>根据</w:t>
      </w:r>
      <w:r>
        <w:rPr>
          <w:rFonts w:hint="default" w:ascii="Times New Roman" w:hAnsi="Times New Roman" w:eastAsia="仿宋" w:cs="Times New Roman"/>
          <w:color w:val="FF0000"/>
          <w:sz w:val="32"/>
          <w:szCs w:val="32"/>
          <w:highlight w:val="none"/>
          <w:u w:val="none" w:color="auto"/>
          <w:lang w:eastAsia="zh-CN"/>
        </w:rPr>
        <w:t>湘环评函〔</w:t>
      </w:r>
      <w:r>
        <w:rPr>
          <w:rFonts w:hint="default" w:ascii="Times New Roman" w:hAnsi="Times New Roman" w:eastAsia="仿宋" w:cs="Times New Roman"/>
          <w:color w:val="FF0000"/>
          <w:sz w:val="32"/>
          <w:szCs w:val="32"/>
          <w:highlight w:val="none"/>
          <w:u w:val="none" w:color="auto"/>
          <w:lang w:val="en-US" w:eastAsia="zh-CN"/>
        </w:rPr>
        <w:t>2024</w:t>
      </w:r>
      <w:r>
        <w:rPr>
          <w:rFonts w:hint="default" w:ascii="Times New Roman" w:hAnsi="Times New Roman" w:eastAsia="仿宋" w:cs="Times New Roman"/>
          <w:color w:val="FF0000"/>
          <w:sz w:val="32"/>
          <w:szCs w:val="32"/>
          <w:highlight w:val="none"/>
          <w:u w:val="none" w:color="auto"/>
          <w:lang w:eastAsia="zh-CN"/>
        </w:rPr>
        <w:t>〕</w:t>
      </w:r>
      <w:r>
        <w:rPr>
          <w:rFonts w:hint="default" w:ascii="Times New Roman" w:hAnsi="Times New Roman" w:eastAsia="仿宋" w:cs="Times New Roman"/>
          <w:color w:val="FF0000"/>
          <w:sz w:val="32"/>
          <w:szCs w:val="32"/>
          <w:highlight w:val="none"/>
          <w:u w:val="none" w:color="auto"/>
          <w:lang w:val="en-US" w:eastAsia="zh-CN"/>
        </w:rPr>
        <w:t>45号</w:t>
      </w:r>
      <w:r>
        <w:rPr>
          <w:rFonts w:hint="eastAsia" w:ascii="Times New Roman" w:hAnsi="Times New Roman" w:eastAsia="仿宋" w:cs="Times New Roman"/>
          <w:color w:val="FF0000"/>
          <w:sz w:val="32"/>
          <w:szCs w:val="32"/>
          <w:highlight w:val="none"/>
          <w:u w:val="none" w:color="auto"/>
          <w:lang w:val="en-US" w:eastAsia="zh-CN"/>
        </w:rPr>
        <w:t>文</w:t>
      </w:r>
      <w:r>
        <w:rPr>
          <w:rFonts w:hint="eastAsia" w:ascii="Times New Roman" w:hAnsi="Times New Roman" w:eastAsia="仿宋" w:cs="Times New Roman"/>
          <w:color w:val="FF0000"/>
          <w:sz w:val="32"/>
          <w:szCs w:val="32"/>
          <w:highlight w:val="none"/>
          <w:u w:val="none" w:color="auto"/>
          <w:lang w:eastAsia="zh-CN"/>
        </w:rPr>
        <w:t>，</w:t>
      </w:r>
      <w:r>
        <w:rPr>
          <w:rFonts w:hint="eastAsia" w:ascii="Times New Roman" w:hAnsi="Times New Roman" w:eastAsia="仿宋" w:cs="Times New Roman"/>
          <w:color w:val="FF0000"/>
          <w:sz w:val="32"/>
          <w:szCs w:val="32"/>
          <w:highlight w:val="none"/>
          <w:u w:val="none" w:color="auto"/>
          <w:lang w:val="en-US" w:eastAsia="zh-CN"/>
        </w:rPr>
        <w:t>2024年调扩区后园区规划面积为</w:t>
      </w:r>
      <w:r>
        <w:rPr>
          <w:rFonts w:hint="eastAsia" w:ascii="Times New Roman" w:hAnsi="Times New Roman" w:eastAsia="仿宋" w:cs="Times New Roman"/>
          <w:color w:val="FF0000"/>
          <w:sz w:val="32"/>
          <w:szCs w:val="32"/>
          <w:highlight w:val="none"/>
          <w:u w:val="none" w:color="auto"/>
          <w:lang w:eastAsia="zh-CN"/>
        </w:rPr>
        <w:t>821.81公顷，主要分为两个区块，其中主园区为738.55公顷，包括核心区、东区及西区，核心区主要发展电子信息产业，东区主要发展大健康产业，西区主要发展大健康、新材料产业；酒鬼酒生态工业园规划面积为83.26公顷，主要发展大健康（白酒）产业。</w:t>
      </w:r>
    </w:p>
    <w:p>
      <w:pPr>
        <w:pStyle w:val="14"/>
        <w:keepNext w:val="0"/>
        <w:keepLines w:val="0"/>
        <w:pageBreakBefore w:val="0"/>
        <w:kinsoku/>
        <w:wordWrap/>
        <w:overflowPunct/>
        <w:topLinePunct w:val="0"/>
        <w:autoSpaceDE/>
        <w:autoSpaceDN/>
        <w:bidi w:val="0"/>
        <w:snapToGrid w:val="0"/>
        <w:spacing w:after="0" w:line="560" w:lineRule="exact"/>
        <w:ind w:left="0" w:leftChars="0" w:firstLine="643"/>
        <w:jc w:val="both"/>
        <w:textAlignment w:val="auto"/>
        <w:outlineLvl w:val="9"/>
        <w:rPr>
          <w:rFonts w:hint="eastAsia" w:ascii="仿宋" w:hAnsi="仿宋" w:eastAsia="仿宋" w:cs="仿宋"/>
          <w:b/>
          <w:bCs/>
          <w:color w:val="auto"/>
          <w:sz w:val="32"/>
          <w:szCs w:val="32"/>
          <w:highlight w:val="none"/>
          <w:u w:val="none" w:color="auto"/>
        </w:rPr>
      </w:pPr>
      <w:r>
        <w:rPr>
          <w:rFonts w:hint="eastAsia" w:ascii="仿宋" w:hAnsi="仿宋" w:eastAsia="仿宋" w:cs="仿宋"/>
          <w:b/>
          <w:bCs/>
          <w:color w:val="auto"/>
          <w:sz w:val="32"/>
          <w:szCs w:val="32"/>
          <w:highlight w:val="none"/>
          <w:u w:val="none" w:color="auto"/>
        </w:rPr>
        <w:t>（</w:t>
      </w:r>
      <w:r>
        <w:rPr>
          <w:rFonts w:hint="eastAsia" w:ascii="仿宋" w:hAnsi="仿宋" w:eastAsia="仿宋" w:cs="仿宋"/>
          <w:b/>
          <w:bCs/>
          <w:color w:val="auto"/>
          <w:sz w:val="32"/>
          <w:szCs w:val="32"/>
          <w:highlight w:val="none"/>
          <w:u w:val="none" w:color="auto"/>
          <w:lang w:eastAsia="zh-CN"/>
        </w:rPr>
        <w:t>二</w:t>
      </w:r>
      <w:r>
        <w:rPr>
          <w:rFonts w:hint="eastAsia" w:ascii="仿宋" w:hAnsi="仿宋" w:eastAsia="仿宋" w:cs="仿宋"/>
          <w:b/>
          <w:bCs/>
          <w:color w:val="auto"/>
          <w:sz w:val="32"/>
          <w:szCs w:val="32"/>
          <w:highlight w:val="none"/>
          <w:u w:val="none" w:color="auto"/>
        </w:rPr>
        <w:t>）</w:t>
      </w:r>
      <w:r>
        <w:rPr>
          <w:rFonts w:hint="eastAsia" w:ascii="仿宋" w:hAnsi="仿宋" w:eastAsia="仿宋" w:cs="仿宋"/>
          <w:b/>
          <w:bCs/>
          <w:color w:val="auto"/>
          <w:sz w:val="32"/>
          <w:szCs w:val="32"/>
          <w:highlight w:val="none"/>
          <w:u w:val="none" w:color="auto"/>
          <w:lang w:eastAsia="zh-CN"/>
        </w:rPr>
        <w:t>入园企业</w:t>
      </w:r>
      <w:r>
        <w:rPr>
          <w:rFonts w:hint="eastAsia" w:ascii="仿宋" w:hAnsi="仿宋" w:eastAsia="仿宋" w:cs="仿宋"/>
          <w:b/>
          <w:bCs/>
          <w:color w:val="auto"/>
          <w:sz w:val="32"/>
          <w:szCs w:val="32"/>
          <w:highlight w:val="none"/>
          <w:u w:val="none" w:color="auto"/>
          <w:lang w:val="en-US" w:eastAsia="zh-CN"/>
        </w:rPr>
        <w:t>基本</w:t>
      </w:r>
      <w:r>
        <w:rPr>
          <w:rFonts w:hint="eastAsia" w:ascii="仿宋" w:hAnsi="仿宋" w:eastAsia="仿宋" w:cs="仿宋"/>
          <w:b/>
          <w:bCs/>
          <w:color w:val="auto"/>
          <w:sz w:val="32"/>
          <w:szCs w:val="32"/>
          <w:highlight w:val="none"/>
          <w:u w:val="none" w:color="auto"/>
        </w:rPr>
        <w:t>情况</w:t>
      </w:r>
    </w:p>
    <w:p>
      <w:pPr>
        <w:pStyle w:val="14"/>
        <w:keepNext w:val="0"/>
        <w:keepLines w:val="0"/>
        <w:pageBreakBefore w:val="0"/>
        <w:kinsoku/>
        <w:wordWrap/>
        <w:overflowPunct/>
        <w:topLinePunct w:val="0"/>
        <w:autoSpaceDE/>
        <w:autoSpaceDN/>
        <w:bidi w:val="0"/>
        <w:snapToGrid w:val="0"/>
        <w:spacing w:after="0" w:line="560" w:lineRule="exact"/>
        <w:ind w:left="0" w:leftChars="0" w:firstLine="643"/>
        <w:textAlignment w:val="auto"/>
        <w:outlineLvl w:val="9"/>
        <w:rPr>
          <w:rFonts w:hint="default" w:ascii="Times New Roman" w:hAnsi="Times New Roman" w:eastAsia="仿宋" w:cs="Times New Roman"/>
          <w:color w:val="auto"/>
          <w:sz w:val="32"/>
          <w:szCs w:val="32"/>
          <w:highlight w:val="none"/>
          <w:u w:val="none" w:color="auto"/>
          <w:lang w:eastAsia="zh-CN"/>
        </w:rPr>
      </w:pPr>
      <w:r>
        <w:rPr>
          <w:rFonts w:hint="default" w:ascii="Times New Roman" w:hAnsi="Times New Roman" w:eastAsia="仿宋" w:cs="Times New Roman"/>
          <w:color w:val="FF0000"/>
          <w:sz w:val="32"/>
          <w:szCs w:val="32"/>
          <w:highlight w:val="none"/>
          <w:u w:val="none" w:color="auto"/>
          <w:lang w:eastAsia="zh-CN"/>
        </w:rPr>
        <w:t>截至202</w:t>
      </w:r>
      <w:r>
        <w:rPr>
          <w:rFonts w:hint="eastAsia" w:ascii="Times New Roman" w:hAnsi="Times New Roman" w:eastAsia="仿宋" w:cs="Times New Roman"/>
          <w:color w:val="FF0000"/>
          <w:sz w:val="32"/>
          <w:szCs w:val="32"/>
          <w:highlight w:val="none"/>
          <w:u w:val="none" w:color="auto"/>
          <w:lang w:val="en-US" w:eastAsia="zh-CN"/>
        </w:rPr>
        <w:t>5</w:t>
      </w:r>
      <w:r>
        <w:rPr>
          <w:rFonts w:hint="default" w:ascii="Times New Roman" w:hAnsi="Times New Roman" w:eastAsia="仿宋" w:cs="Times New Roman"/>
          <w:color w:val="FF0000"/>
          <w:sz w:val="32"/>
          <w:szCs w:val="32"/>
          <w:highlight w:val="none"/>
          <w:u w:val="none" w:color="auto"/>
          <w:lang w:eastAsia="zh-CN"/>
        </w:rPr>
        <w:t>年底，园区</w:t>
      </w:r>
      <w:r>
        <w:rPr>
          <w:rFonts w:hint="eastAsia" w:ascii="Times New Roman" w:hAnsi="Times New Roman" w:eastAsia="仿宋" w:cs="Times New Roman"/>
          <w:color w:val="FF0000"/>
          <w:sz w:val="32"/>
          <w:szCs w:val="32"/>
          <w:highlight w:val="none"/>
          <w:u w:val="none" w:color="auto"/>
          <w:lang w:eastAsia="zh-CN"/>
        </w:rPr>
        <w:t>规上工业企业</w:t>
      </w:r>
      <w:r>
        <w:rPr>
          <w:rFonts w:hint="default" w:ascii="Times New Roman" w:hAnsi="Times New Roman" w:eastAsia="仿宋" w:cs="Times New Roman"/>
          <w:color w:val="FF0000"/>
          <w:sz w:val="32"/>
          <w:szCs w:val="32"/>
          <w:highlight w:val="none"/>
          <w:u w:val="none" w:color="auto"/>
          <w:lang w:eastAsia="zh-CN"/>
        </w:rPr>
        <w:t>数量</w:t>
      </w:r>
      <w:r>
        <w:rPr>
          <w:rFonts w:hint="eastAsia" w:ascii="Times New Roman" w:hAnsi="Times New Roman" w:eastAsia="仿宋" w:cs="Times New Roman"/>
          <w:color w:val="FF0000"/>
          <w:sz w:val="32"/>
          <w:szCs w:val="32"/>
          <w:highlight w:val="none"/>
          <w:u w:val="none" w:color="auto"/>
          <w:lang w:val="en-US" w:eastAsia="zh-CN"/>
        </w:rPr>
        <w:t>36</w:t>
      </w:r>
      <w:r>
        <w:rPr>
          <w:rFonts w:hint="eastAsia" w:ascii="Times New Roman" w:hAnsi="Times New Roman" w:eastAsia="仿宋" w:cs="Times New Roman"/>
          <w:color w:val="FF0000"/>
          <w:sz w:val="32"/>
          <w:szCs w:val="32"/>
          <w:highlight w:val="none"/>
          <w:u w:val="none" w:color="auto"/>
          <w:lang w:eastAsia="zh-CN"/>
        </w:rPr>
        <w:t>家</w:t>
      </w:r>
      <w:r>
        <w:rPr>
          <w:rFonts w:hint="default" w:ascii="Times New Roman" w:hAnsi="Times New Roman" w:eastAsia="仿宋" w:cs="Times New Roman"/>
          <w:color w:val="auto"/>
          <w:sz w:val="32"/>
          <w:szCs w:val="32"/>
          <w:highlight w:val="none"/>
          <w:u w:val="none" w:color="auto"/>
          <w:lang w:eastAsia="zh-CN"/>
        </w:rPr>
        <w:t>，其中本年度内新入园企业数量</w:t>
      </w:r>
      <w:r>
        <w:rPr>
          <w:rFonts w:hint="default" w:ascii="Times New Roman" w:hAnsi="Times New Roman" w:eastAsia="仿宋" w:cs="Times New Roman"/>
          <w:color w:val="auto"/>
          <w:sz w:val="32"/>
          <w:szCs w:val="32"/>
          <w:highlight w:val="none"/>
          <w:u w:val="none" w:color="auto"/>
          <w:lang w:val="en-US" w:eastAsia="zh-CN"/>
        </w:rPr>
        <w:t>1</w:t>
      </w:r>
      <w:r>
        <w:rPr>
          <w:rFonts w:hint="default" w:ascii="Times New Roman" w:hAnsi="Times New Roman" w:eastAsia="仿宋" w:cs="Times New Roman"/>
          <w:color w:val="auto"/>
          <w:sz w:val="32"/>
          <w:szCs w:val="32"/>
          <w:highlight w:val="none"/>
          <w:u w:val="none" w:color="auto"/>
          <w:lang w:eastAsia="zh-CN"/>
        </w:rPr>
        <w:t>个，本年度退出企业数量</w:t>
      </w:r>
      <w:r>
        <w:rPr>
          <w:rFonts w:hint="eastAsia" w:ascii="Times New Roman" w:hAnsi="Times New Roman" w:eastAsia="仿宋" w:cs="Times New Roman"/>
          <w:color w:val="auto"/>
          <w:sz w:val="32"/>
          <w:szCs w:val="32"/>
          <w:highlight w:val="none"/>
          <w:u w:val="none" w:color="auto"/>
          <w:lang w:val="en-US" w:eastAsia="zh-CN"/>
        </w:rPr>
        <w:t>13</w:t>
      </w:r>
      <w:r>
        <w:rPr>
          <w:rFonts w:hint="default" w:ascii="Times New Roman" w:hAnsi="Times New Roman" w:eastAsia="仿宋" w:cs="Times New Roman"/>
          <w:color w:val="auto"/>
          <w:sz w:val="32"/>
          <w:szCs w:val="32"/>
          <w:highlight w:val="none"/>
          <w:u w:val="none" w:color="auto"/>
          <w:lang w:eastAsia="zh-CN"/>
        </w:rPr>
        <w:t>个。园区内已完成环评批复手续企业数量</w:t>
      </w:r>
      <w:r>
        <w:rPr>
          <w:rFonts w:hint="eastAsia" w:ascii="Times New Roman" w:hAnsi="Times New Roman" w:eastAsia="仿宋" w:cs="Times New Roman"/>
          <w:color w:val="auto"/>
          <w:sz w:val="32"/>
          <w:szCs w:val="32"/>
          <w:highlight w:val="none"/>
          <w:u w:val="none" w:color="auto"/>
          <w:lang w:val="en-US" w:eastAsia="zh-CN"/>
        </w:rPr>
        <w:t>28</w:t>
      </w:r>
      <w:r>
        <w:rPr>
          <w:rFonts w:hint="default" w:ascii="Times New Roman" w:hAnsi="Times New Roman" w:eastAsia="仿宋" w:cs="Times New Roman"/>
          <w:color w:val="auto"/>
          <w:sz w:val="32"/>
          <w:szCs w:val="32"/>
          <w:highlight w:val="none"/>
          <w:u w:val="none" w:color="auto"/>
          <w:lang w:eastAsia="zh-CN"/>
        </w:rPr>
        <w:t>个（</w:t>
      </w:r>
      <w:r>
        <w:rPr>
          <w:rFonts w:hint="default" w:ascii="Times New Roman" w:hAnsi="Times New Roman" w:eastAsia="仿宋" w:cs="Times New Roman"/>
          <w:color w:val="auto"/>
          <w:sz w:val="32"/>
          <w:szCs w:val="32"/>
          <w:highlight w:val="none"/>
          <w:u w:val="none" w:color="auto"/>
          <w:lang w:val="en-US" w:eastAsia="zh-CN"/>
        </w:rPr>
        <w:t>不含已退出企业）</w:t>
      </w:r>
      <w:r>
        <w:rPr>
          <w:rFonts w:hint="default" w:ascii="Times New Roman" w:hAnsi="Times New Roman" w:eastAsia="仿宋" w:cs="Times New Roman"/>
          <w:color w:val="auto"/>
          <w:sz w:val="32"/>
          <w:szCs w:val="32"/>
          <w:highlight w:val="none"/>
          <w:u w:val="none" w:color="auto"/>
          <w:lang w:eastAsia="zh-CN"/>
        </w:rPr>
        <w:t>，其中本年度新增项目环评批复</w:t>
      </w:r>
      <w:r>
        <w:rPr>
          <w:rFonts w:hint="eastAsia" w:ascii="Times New Roman" w:hAnsi="Times New Roman" w:eastAsia="仿宋" w:cs="Times New Roman"/>
          <w:color w:val="auto"/>
          <w:sz w:val="32"/>
          <w:szCs w:val="32"/>
          <w:highlight w:val="none"/>
          <w:u w:val="none" w:color="auto"/>
          <w:lang w:val="en-US" w:eastAsia="zh-CN"/>
        </w:rPr>
        <w:t>1</w:t>
      </w:r>
      <w:r>
        <w:rPr>
          <w:rFonts w:hint="default" w:ascii="Times New Roman" w:hAnsi="Times New Roman" w:eastAsia="仿宋" w:cs="Times New Roman"/>
          <w:color w:val="auto"/>
          <w:sz w:val="32"/>
          <w:szCs w:val="32"/>
          <w:highlight w:val="none"/>
          <w:u w:val="none" w:color="auto"/>
          <w:lang w:eastAsia="zh-CN"/>
        </w:rPr>
        <w:t>个。园区内已完成环保竣工验收手续企业数</w:t>
      </w:r>
      <w:r>
        <w:rPr>
          <w:rFonts w:hint="default" w:ascii="Times New Roman" w:hAnsi="Times New Roman" w:eastAsia="仿宋" w:cs="Times New Roman"/>
          <w:color w:val="FF0000"/>
          <w:sz w:val="32"/>
          <w:szCs w:val="32"/>
          <w:highlight w:val="none"/>
          <w:u w:val="none" w:color="auto"/>
          <w:lang w:eastAsia="zh-CN"/>
        </w:rPr>
        <w:t>量</w:t>
      </w:r>
      <w:r>
        <w:rPr>
          <w:rFonts w:hint="eastAsia" w:ascii="Times New Roman" w:hAnsi="Times New Roman" w:eastAsia="仿宋" w:cs="Times New Roman"/>
          <w:color w:val="FF0000"/>
          <w:sz w:val="32"/>
          <w:szCs w:val="32"/>
          <w:highlight w:val="none"/>
          <w:u w:val="none" w:color="auto"/>
          <w:lang w:val="en-US" w:eastAsia="zh-CN"/>
        </w:rPr>
        <w:t>25</w:t>
      </w:r>
      <w:r>
        <w:rPr>
          <w:rFonts w:hint="default" w:ascii="Times New Roman" w:hAnsi="Times New Roman" w:eastAsia="仿宋" w:cs="Times New Roman"/>
          <w:color w:val="FF0000"/>
          <w:sz w:val="32"/>
          <w:szCs w:val="32"/>
          <w:highlight w:val="none"/>
          <w:u w:val="none" w:color="auto"/>
          <w:lang w:eastAsia="zh-CN"/>
        </w:rPr>
        <w:t>个</w:t>
      </w:r>
      <w:r>
        <w:rPr>
          <w:rFonts w:hint="default" w:ascii="Times New Roman" w:hAnsi="Times New Roman" w:eastAsia="仿宋" w:cs="Times New Roman"/>
          <w:color w:val="auto"/>
          <w:sz w:val="32"/>
          <w:szCs w:val="32"/>
          <w:highlight w:val="none"/>
          <w:u w:val="none" w:color="auto"/>
          <w:lang w:eastAsia="zh-CN"/>
        </w:rPr>
        <w:t>，本年度新增环保竣工验收</w:t>
      </w:r>
      <w:r>
        <w:rPr>
          <w:rFonts w:hint="eastAsia" w:ascii="Times New Roman" w:hAnsi="Times New Roman" w:eastAsia="仿宋" w:cs="Times New Roman"/>
          <w:color w:val="auto"/>
          <w:sz w:val="32"/>
          <w:szCs w:val="32"/>
          <w:highlight w:val="none"/>
          <w:u w:val="none" w:color="auto"/>
          <w:lang w:eastAsia="zh-CN"/>
        </w:rPr>
        <w:t>项目</w:t>
      </w:r>
      <w:r>
        <w:rPr>
          <w:rFonts w:hint="default" w:ascii="Times New Roman" w:hAnsi="Times New Roman" w:eastAsia="仿宋" w:cs="Times New Roman"/>
          <w:color w:val="auto"/>
          <w:sz w:val="32"/>
          <w:szCs w:val="32"/>
          <w:highlight w:val="none"/>
          <w:u w:val="none" w:color="auto"/>
          <w:lang w:eastAsia="zh-CN"/>
        </w:rPr>
        <w:t>数量</w:t>
      </w:r>
      <w:r>
        <w:rPr>
          <w:rFonts w:hint="eastAsia" w:ascii="Times New Roman" w:hAnsi="Times New Roman" w:eastAsia="仿宋" w:cs="Times New Roman"/>
          <w:color w:val="auto"/>
          <w:sz w:val="32"/>
          <w:szCs w:val="32"/>
          <w:highlight w:val="none"/>
          <w:u w:val="none" w:color="auto"/>
          <w:lang w:val="en-US" w:eastAsia="zh-CN"/>
        </w:rPr>
        <w:t>1</w:t>
      </w:r>
      <w:r>
        <w:rPr>
          <w:rFonts w:hint="default" w:ascii="Times New Roman" w:hAnsi="Times New Roman" w:eastAsia="仿宋" w:cs="Times New Roman"/>
          <w:color w:val="auto"/>
          <w:sz w:val="32"/>
          <w:szCs w:val="32"/>
          <w:highlight w:val="none"/>
          <w:u w:val="none" w:color="auto"/>
          <w:lang w:eastAsia="zh-CN"/>
        </w:rPr>
        <w:t>个</w:t>
      </w:r>
      <w:r>
        <w:rPr>
          <w:rFonts w:hint="eastAsia" w:ascii="Times New Roman" w:hAnsi="Times New Roman" w:eastAsia="仿宋" w:cs="Times New Roman"/>
          <w:color w:val="auto"/>
          <w:sz w:val="32"/>
          <w:szCs w:val="32"/>
          <w:highlight w:val="none"/>
          <w:u w:val="none" w:color="auto"/>
          <w:lang w:val="en-US" w:eastAsia="zh-CN"/>
        </w:rPr>
        <w:t>，</w:t>
      </w:r>
      <w:r>
        <w:rPr>
          <w:rFonts w:hint="default" w:ascii="Times New Roman" w:hAnsi="Times New Roman" w:eastAsia="仿宋" w:cs="Times New Roman"/>
          <w:color w:val="auto"/>
          <w:sz w:val="32"/>
          <w:szCs w:val="32"/>
          <w:highlight w:val="none"/>
          <w:u w:val="none" w:color="auto"/>
          <w:lang w:eastAsia="zh-CN"/>
        </w:rPr>
        <w:t>正在验收企业</w:t>
      </w:r>
      <w:r>
        <w:rPr>
          <w:rFonts w:hint="default" w:ascii="Times New Roman" w:hAnsi="Times New Roman" w:eastAsia="仿宋" w:cs="Times New Roman"/>
          <w:color w:val="auto"/>
          <w:sz w:val="32"/>
          <w:szCs w:val="32"/>
          <w:highlight w:val="none"/>
          <w:u w:val="none" w:color="auto"/>
          <w:lang w:val="en-US" w:eastAsia="zh-CN"/>
        </w:rPr>
        <w:t>1家</w:t>
      </w:r>
      <w:r>
        <w:rPr>
          <w:rFonts w:hint="eastAsia" w:ascii="Times New Roman" w:hAnsi="Times New Roman" w:eastAsia="仿宋" w:cs="Times New Roman"/>
          <w:color w:val="auto"/>
          <w:sz w:val="32"/>
          <w:szCs w:val="32"/>
          <w:highlight w:val="none"/>
          <w:u w:val="none" w:color="auto"/>
          <w:lang w:val="en-US" w:eastAsia="zh-CN"/>
        </w:rPr>
        <w:t>（湘西餐享塑业有限公司）</w:t>
      </w:r>
      <w:r>
        <w:rPr>
          <w:rFonts w:hint="default" w:ascii="Times New Roman" w:hAnsi="Times New Roman" w:eastAsia="仿宋" w:cs="Times New Roman"/>
          <w:color w:val="auto"/>
          <w:sz w:val="32"/>
          <w:szCs w:val="32"/>
          <w:highlight w:val="none"/>
          <w:u w:val="none" w:color="auto"/>
          <w:lang w:val="en-US" w:eastAsia="zh-CN"/>
        </w:rPr>
        <w:t>，2家已完成环评批复企业正在建设</w:t>
      </w:r>
      <w:r>
        <w:rPr>
          <w:rFonts w:hint="eastAsia" w:ascii="Times New Roman" w:hAnsi="Times New Roman" w:eastAsia="仿宋" w:cs="Times New Roman"/>
          <w:color w:val="auto"/>
          <w:sz w:val="32"/>
          <w:szCs w:val="32"/>
          <w:highlight w:val="none"/>
          <w:u w:val="none" w:color="auto"/>
          <w:lang w:val="en-US" w:eastAsia="zh-CN"/>
        </w:rPr>
        <w:t>未开展验收（湖南酒鬼酒馥郁香科技有限公司、湖南湘港包装有限公司）</w:t>
      </w:r>
      <w:r>
        <w:rPr>
          <w:rFonts w:hint="default" w:ascii="Times New Roman" w:hAnsi="Times New Roman" w:eastAsia="仿宋" w:cs="Times New Roman"/>
          <w:color w:val="auto"/>
          <w:sz w:val="32"/>
          <w:szCs w:val="32"/>
          <w:highlight w:val="none"/>
          <w:u w:val="none" w:color="auto"/>
          <w:lang w:val="en-US" w:eastAsia="zh-CN"/>
        </w:rPr>
        <w:t>，</w:t>
      </w:r>
      <w:r>
        <w:rPr>
          <w:rFonts w:hint="default" w:ascii="Times New Roman" w:hAnsi="Times New Roman" w:eastAsia="仿宋" w:cs="Times New Roman"/>
          <w:color w:val="auto"/>
          <w:sz w:val="32"/>
          <w:szCs w:val="32"/>
          <w:highlight w:val="none"/>
          <w:u w:val="none" w:color="auto"/>
          <w:lang w:eastAsia="zh-CN"/>
        </w:rPr>
        <w:t>不需要验收的登记表</w:t>
      </w:r>
      <w:r>
        <w:rPr>
          <w:rFonts w:hint="default" w:ascii="Times New Roman" w:hAnsi="Times New Roman" w:eastAsia="仿宋" w:cs="Times New Roman"/>
          <w:color w:val="auto"/>
          <w:sz w:val="32"/>
          <w:szCs w:val="32"/>
          <w:highlight w:val="none"/>
          <w:u w:val="none" w:color="auto"/>
          <w:lang w:val="en-US" w:eastAsia="zh-CN"/>
        </w:rPr>
        <w:t>及未纳入环评管理名录</w:t>
      </w:r>
      <w:r>
        <w:rPr>
          <w:rFonts w:hint="eastAsia" w:ascii="Times New Roman" w:hAnsi="Times New Roman" w:eastAsia="仿宋" w:cs="Times New Roman"/>
          <w:color w:val="auto"/>
          <w:sz w:val="32"/>
          <w:szCs w:val="32"/>
          <w:highlight w:val="none"/>
          <w:u w:val="none" w:color="auto"/>
          <w:lang w:val="en-US" w:eastAsia="zh-CN"/>
        </w:rPr>
        <w:t>企业15</w:t>
      </w:r>
      <w:r>
        <w:rPr>
          <w:rFonts w:hint="default" w:ascii="Times New Roman" w:hAnsi="Times New Roman" w:eastAsia="仿宋" w:cs="Times New Roman"/>
          <w:color w:val="auto"/>
          <w:sz w:val="32"/>
          <w:szCs w:val="32"/>
          <w:highlight w:val="none"/>
          <w:u w:val="none" w:color="auto"/>
          <w:lang w:val="en-US" w:eastAsia="zh-CN"/>
        </w:rPr>
        <w:t>个</w:t>
      </w:r>
      <w:r>
        <w:rPr>
          <w:rFonts w:hint="default" w:ascii="Times New Roman" w:hAnsi="Times New Roman" w:eastAsia="仿宋" w:cs="Times New Roman"/>
          <w:color w:val="auto"/>
          <w:sz w:val="32"/>
          <w:szCs w:val="32"/>
          <w:highlight w:val="none"/>
          <w:u w:val="none" w:color="auto"/>
          <w:lang w:eastAsia="zh-CN"/>
        </w:rPr>
        <w:t>。园区内已完成应急预案备案手续企业数量</w:t>
      </w:r>
      <w:r>
        <w:rPr>
          <w:rFonts w:hint="eastAsia" w:ascii="Times New Roman" w:hAnsi="Times New Roman" w:eastAsia="仿宋" w:cs="Times New Roman"/>
          <w:color w:val="auto"/>
          <w:sz w:val="32"/>
          <w:szCs w:val="32"/>
          <w:highlight w:val="none"/>
          <w:u w:val="none" w:color="auto"/>
          <w:lang w:val="en-US" w:eastAsia="zh-CN"/>
        </w:rPr>
        <w:t>15</w:t>
      </w:r>
      <w:r>
        <w:rPr>
          <w:rFonts w:hint="default" w:ascii="Times New Roman" w:hAnsi="Times New Roman" w:eastAsia="仿宋" w:cs="Times New Roman"/>
          <w:color w:val="auto"/>
          <w:sz w:val="32"/>
          <w:szCs w:val="32"/>
          <w:highlight w:val="none"/>
          <w:u w:val="none" w:color="auto"/>
          <w:lang w:eastAsia="zh-CN"/>
        </w:rPr>
        <w:t>个。园区内已取得排污许可证的工业企业数量</w:t>
      </w:r>
      <w:r>
        <w:rPr>
          <w:rFonts w:hint="default" w:ascii="Times New Roman" w:hAnsi="Times New Roman" w:eastAsia="仿宋" w:cs="Times New Roman"/>
          <w:color w:val="auto"/>
          <w:sz w:val="32"/>
          <w:szCs w:val="32"/>
          <w:highlight w:val="none"/>
          <w:u w:val="none" w:color="auto"/>
          <w:lang w:val="en-US" w:eastAsia="zh-CN"/>
        </w:rPr>
        <w:t>1</w:t>
      </w:r>
      <w:r>
        <w:rPr>
          <w:rFonts w:hint="eastAsia" w:ascii="Times New Roman" w:hAnsi="Times New Roman" w:eastAsia="仿宋" w:cs="Times New Roman"/>
          <w:color w:val="auto"/>
          <w:sz w:val="32"/>
          <w:szCs w:val="32"/>
          <w:highlight w:val="none"/>
          <w:u w:val="none" w:color="auto"/>
          <w:lang w:val="en-US" w:eastAsia="zh-CN"/>
        </w:rPr>
        <w:t>3</w:t>
      </w:r>
      <w:r>
        <w:rPr>
          <w:rFonts w:hint="default" w:ascii="Times New Roman" w:hAnsi="Times New Roman" w:eastAsia="仿宋" w:cs="Times New Roman"/>
          <w:color w:val="auto"/>
          <w:sz w:val="32"/>
          <w:szCs w:val="32"/>
          <w:highlight w:val="none"/>
          <w:u w:val="none" w:color="auto"/>
          <w:lang w:eastAsia="zh-CN"/>
        </w:rPr>
        <w:t>个，</w:t>
      </w:r>
      <w:bookmarkStart w:id="14" w:name="_GoBack"/>
      <w:r>
        <w:rPr>
          <w:rFonts w:hint="default" w:ascii="Times New Roman" w:hAnsi="Times New Roman" w:eastAsia="仿宋" w:cs="Times New Roman"/>
          <w:color w:val="0000FF"/>
          <w:sz w:val="32"/>
          <w:szCs w:val="32"/>
          <w:highlight w:val="none"/>
          <w:u w:val="none" w:color="auto"/>
          <w:lang w:eastAsia="zh-CN"/>
        </w:rPr>
        <w:t>其中重点管理的企业数量</w:t>
      </w:r>
      <w:r>
        <w:rPr>
          <w:rFonts w:hint="default" w:ascii="Times New Roman" w:hAnsi="Times New Roman" w:eastAsia="仿宋" w:cs="Times New Roman"/>
          <w:color w:val="0000FF"/>
          <w:sz w:val="32"/>
          <w:szCs w:val="32"/>
          <w:highlight w:val="none"/>
          <w:u w:val="none" w:color="auto"/>
          <w:lang w:val="en" w:eastAsia="zh-CN"/>
        </w:rPr>
        <w:t>3</w:t>
      </w:r>
      <w:r>
        <w:rPr>
          <w:rFonts w:hint="default" w:ascii="Times New Roman" w:hAnsi="Times New Roman" w:eastAsia="仿宋" w:cs="Times New Roman"/>
          <w:color w:val="0000FF"/>
          <w:sz w:val="32"/>
          <w:szCs w:val="32"/>
          <w:highlight w:val="none"/>
          <w:u w:val="none" w:color="auto"/>
          <w:lang w:eastAsia="zh-CN"/>
        </w:rPr>
        <w:t>个，简化管理企业数量</w:t>
      </w:r>
      <w:r>
        <w:rPr>
          <w:rFonts w:hint="default" w:ascii="Times New Roman" w:hAnsi="Times New Roman" w:eastAsia="仿宋" w:cs="Times New Roman"/>
          <w:color w:val="0000FF"/>
          <w:sz w:val="32"/>
          <w:szCs w:val="32"/>
          <w:highlight w:val="none"/>
          <w:u w:val="none" w:color="auto"/>
          <w:lang w:val="en-US" w:eastAsia="zh-CN"/>
        </w:rPr>
        <w:t>1</w:t>
      </w:r>
      <w:r>
        <w:rPr>
          <w:rFonts w:hint="eastAsia" w:ascii="Times New Roman" w:hAnsi="Times New Roman" w:eastAsia="仿宋" w:cs="Times New Roman"/>
          <w:color w:val="0000FF"/>
          <w:sz w:val="32"/>
          <w:szCs w:val="32"/>
          <w:highlight w:val="none"/>
          <w:u w:val="none" w:color="auto"/>
          <w:lang w:val="en-US" w:eastAsia="zh-CN"/>
        </w:rPr>
        <w:t>0</w:t>
      </w:r>
      <w:r>
        <w:rPr>
          <w:rFonts w:hint="default" w:ascii="Times New Roman" w:hAnsi="Times New Roman" w:eastAsia="仿宋" w:cs="Times New Roman"/>
          <w:color w:val="0000FF"/>
          <w:sz w:val="32"/>
          <w:szCs w:val="32"/>
          <w:highlight w:val="none"/>
          <w:u w:val="none" w:color="auto"/>
          <w:lang w:eastAsia="zh-CN"/>
        </w:rPr>
        <w:t>个，</w:t>
      </w:r>
      <w:bookmarkEnd w:id="14"/>
      <w:r>
        <w:rPr>
          <w:rFonts w:hint="default" w:ascii="Times New Roman" w:hAnsi="Times New Roman" w:eastAsia="仿宋" w:cs="Times New Roman"/>
          <w:color w:val="auto"/>
          <w:sz w:val="32"/>
          <w:szCs w:val="32"/>
          <w:highlight w:val="none"/>
          <w:u w:val="none" w:color="auto"/>
          <w:lang w:eastAsia="zh-CN"/>
        </w:rPr>
        <w:t>登记管理企业数量</w:t>
      </w:r>
      <w:r>
        <w:rPr>
          <w:rFonts w:hint="eastAsia" w:ascii="Times New Roman" w:hAnsi="Times New Roman" w:eastAsia="仿宋" w:cs="Times New Roman"/>
          <w:color w:val="FF0000"/>
          <w:sz w:val="32"/>
          <w:szCs w:val="32"/>
          <w:highlight w:val="none"/>
          <w:u w:val="none" w:color="auto"/>
          <w:lang w:val="en-US" w:eastAsia="zh-CN"/>
        </w:rPr>
        <w:t>26</w:t>
      </w:r>
      <w:r>
        <w:rPr>
          <w:rFonts w:hint="default" w:ascii="Times New Roman" w:hAnsi="Times New Roman" w:eastAsia="仿宋" w:cs="Times New Roman"/>
          <w:color w:val="auto"/>
          <w:sz w:val="32"/>
          <w:szCs w:val="32"/>
          <w:highlight w:val="none"/>
          <w:u w:val="none" w:color="auto"/>
          <w:lang w:eastAsia="zh-CN"/>
        </w:rPr>
        <w:t>个。（</w:t>
      </w:r>
      <w:r>
        <w:rPr>
          <w:rFonts w:hint="default" w:ascii="Times New Roman" w:hAnsi="Times New Roman" w:eastAsia="仿宋" w:cs="Times New Roman"/>
          <w:color w:val="auto"/>
          <w:sz w:val="32"/>
          <w:szCs w:val="32"/>
          <w:highlight w:val="none"/>
          <w:u w:val="none" w:color="auto"/>
          <w:lang w:val="en-US" w:eastAsia="zh-CN"/>
        </w:rPr>
        <w:t>注：以上仅统计园区内工业企业数量，且不包括已退出企业）</w:t>
      </w:r>
      <w:r>
        <w:rPr>
          <w:rFonts w:hint="default" w:ascii="Times New Roman" w:hAnsi="Times New Roman" w:eastAsia="仿宋" w:cs="Times New Roman"/>
          <w:color w:val="auto"/>
          <w:sz w:val="32"/>
          <w:szCs w:val="32"/>
          <w:highlight w:val="none"/>
          <w:u w:val="none" w:color="auto"/>
          <w:lang w:eastAsia="zh-CN"/>
        </w:rPr>
        <w:t>。</w:t>
      </w:r>
    </w:p>
    <w:p>
      <w:pPr>
        <w:pStyle w:val="14"/>
        <w:keepNext w:val="0"/>
        <w:keepLines w:val="0"/>
        <w:pageBreakBefore w:val="0"/>
        <w:kinsoku/>
        <w:wordWrap/>
        <w:overflowPunct/>
        <w:topLinePunct w:val="0"/>
        <w:autoSpaceDE/>
        <w:autoSpaceDN/>
        <w:bidi w:val="0"/>
        <w:snapToGrid w:val="0"/>
        <w:spacing w:after="0" w:line="560" w:lineRule="exact"/>
        <w:ind w:left="0" w:leftChars="0" w:firstLine="643"/>
        <w:textAlignment w:val="auto"/>
        <w:outlineLvl w:val="9"/>
        <w:rPr>
          <w:rFonts w:hint="eastAsia" w:ascii="Times New Roman" w:hAnsi="Times New Roman" w:eastAsia="仿宋" w:cs="Times New Roman"/>
          <w:color w:val="auto"/>
          <w:sz w:val="32"/>
          <w:szCs w:val="32"/>
          <w:highlight w:val="none"/>
          <w:u w:val="none" w:color="auto"/>
          <w:lang w:eastAsia="zh-CN"/>
        </w:rPr>
      </w:pPr>
      <w:r>
        <w:rPr>
          <w:rFonts w:hint="default" w:ascii="Times New Roman" w:hAnsi="Times New Roman" w:eastAsia="仿宋" w:cs="Times New Roman"/>
          <w:color w:val="auto"/>
          <w:sz w:val="32"/>
          <w:szCs w:val="32"/>
          <w:highlight w:val="none"/>
          <w:u w:val="none" w:color="auto"/>
          <w:lang w:eastAsia="zh-CN"/>
        </w:rPr>
        <w:t>园区主要污染物总量控制指标：化学需氧量</w:t>
      </w:r>
      <w:r>
        <w:rPr>
          <w:rFonts w:hint="default" w:ascii="Times New Roman" w:hAnsi="Times New Roman" w:eastAsia="仿宋" w:cs="Times New Roman"/>
          <w:color w:val="auto"/>
          <w:sz w:val="32"/>
          <w:szCs w:val="32"/>
          <w:highlight w:val="none"/>
          <w:u w:val="none" w:color="auto"/>
          <w:lang w:val="en-US" w:eastAsia="zh-CN"/>
        </w:rPr>
        <w:t>825</w:t>
      </w:r>
      <w:r>
        <w:rPr>
          <w:rFonts w:hint="default" w:ascii="Times New Roman" w:hAnsi="Times New Roman" w:eastAsia="仿宋" w:cs="Times New Roman"/>
          <w:color w:val="auto"/>
          <w:sz w:val="32"/>
          <w:szCs w:val="32"/>
          <w:highlight w:val="none"/>
          <w:u w:val="none" w:color="auto"/>
          <w:lang w:eastAsia="zh-CN"/>
        </w:rPr>
        <w:t>t/a，氨氮</w:t>
      </w:r>
      <w:r>
        <w:rPr>
          <w:rFonts w:hint="default" w:ascii="Times New Roman" w:hAnsi="Times New Roman" w:eastAsia="仿宋" w:cs="Times New Roman"/>
          <w:color w:val="auto"/>
          <w:sz w:val="32"/>
          <w:szCs w:val="32"/>
          <w:highlight w:val="none"/>
          <w:u w:val="none" w:color="auto"/>
          <w:lang w:val="en-US" w:eastAsia="zh-CN"/>
        </w:rPr>
        <w:t>108</w:t>
      </w:r>
      <w:r>
        <w:rPr>
          <w:rFonts w:hint="default" w:ascii="Times New Roman" w:hAnsi="Times New Roman" w:eastAsia="仿宋" w:cs="Times New Roman"/>
          <w:color w:val="auto"/>
          <w:sz w:val="32"/>
          <w:szCs w:val="32"/>
          <w:highlight w:val="none"/>
          <w:u w:val="none" w:color="auto"/>
          <w:lang w:eastAsia="zh-CN"/>
        </w:rPr>
        <w:t>t/a，二氧化硫</w:t>
      </w:r>
      <w:r>
        <w:rPr>
          <w:rFonts w:hint="default" w:ascii="Times New Roman" w:hAnsi="Times New Roman" w:eastAsia="仿宋" w:cs="Times New Roman"/>
          <w:color w:val="auto"/>
          <w:sz w:val="32"/>
          <w:szCs w:val="32"/>
          <w:highlight w:val="none"/>
          <w:u w:val="none" w:color="auto"/>
          <w:lang w:val="en-US" w:eastAsia="zh-CN"/>
        </w:rPr>
        <w:t>670</w:t>
      </w:r>
      <w:r>
        <w:rPr>
          <w:rFonts w:hint="default" w:ascii="Times New Roman" w:hAnsi="Times New Roman" w:eastAsia="仿宋" w:cs="Times New Roman"/>
          <w:color w:val="auto"/>
          <w:sz w:val="32"/>
          <w:szCs w:val="32"/>
          <w:highlight w:val="none"/>
          <w:u w:val="none" w:color="auto"/>
          <w:lang w:eastAsia="zh-CN"/>
        </w:rPr>
        <w:t>t/a，氮氧化物</w:t>
      </w:r>
      <w:r>
        <w:rPr>
          <w:rFonts w:hint="default" w:ascii="Times New Roman" w:hAnsi="Times New Roman" w:eastAsia="仿宋" w:cs="Times New Roman"/>
          <w:color w:val="auto"/>
          <w:sz w:val="32"/>
          <w:szCs w:val="32"/>
          <w:highlight w:val="none"/>
          <w:u w:val="none" w:color="auto"/>
          <w:lang w:val="en-US" w:eastAsia="zh-CN"/>
        </w:rPr>
        <w:t>1325</w:t>
      </w:r>
      <w:r>
        <w:rPr>
          <w:rFonts w:hint="default" w:ascii="Times New Roman" w:hAnsi="Times New Roman" w:eastAsia="仿宋" w:cs="Times New Roman"/>
          <w:color w:val="auto"/>
          <w:sz w:val="32"/>
          <w:szCs w:val="32"/>
          <w:highlight w:val="none"/>
          <w:u w:val="none" w:color="auto"/>
          <w:lang w:eastAsia="zh-CN"/>
        </w:rPr>
        <w:t>t/a，其他无。（备注：该排污总量为园区扩区前环评批复的总量数值</w:t>
      </w:r>
      <w:r>
        <w:rPr>
          <w:rFonts w:hint="default" w:ascii="Times New Roman" w:hAnsi="Times New Roman" w:eastAsia="仿宋" w:cs="Times New Roman"/>
          <w:color w:val="auto"/>
          <w:sz w:val="32"/>
          <w:szCs w:val="32"/>
          <w:highlight w:val="none"/>
          <w:u w:val="none" w:color="auto"/>
          <w:lang w:val="en-US" w:eastAsia="zh-CN"/>
        </w:rPr>
        <w:t>+调扩区后增加的总量数值，所以高于下文环评批复里的核定量</w:t>
      </w:r>
      <w:r>
        <w:rPr>
          <w:rFonts w:hint="default" w:ascii="Times New Roman" w:hAnsi="Times New Roman" w:eastAsia="仿宋" w:cs="Times New Roman"/>
          <w:color w:val="auto"/>
          <w:sz w:val="32"/>
          <w:szCs w:val="32"/>
          <w:highlight w:val="none"/>
          <w:u w:val="none" w:color="auto"/>
          <w:lang w:eastAsia="zh-CN"/>
        </w:rPr>
        <w:t>）</w:t>
      </w:r>
      <w:r>
        <w:rPr>
          <w:rFonts w:hint="eastAsia" w:ascii="Times New Roman" w:hAnsi="Times New Roman" w:eastAsia="仿宋" w:cs="Times New Roman"/>
          <w:color w:val="auto"/>
          <w:sz w:val="32"/>
          <w:szCs w:val="32"/>
          <w:highlight w:val="none"/>
          <w:u w:val="none" w:color="auto"/>
          <w:lang w:eastAsia="zh-CN"/>
        </w:rPr>
        <w:t>。</w:t>
      </w:r>
    </w:p>
    <w:p>
      <w:pPr>
        <w:rPr>
          <w:rFonts w:hint="eastAsia" w:ascii="Times New Roman" w:hAnsi="Times New Roman" w:eastAsia="仿宋" w:cs="Times New Roman"/>
          <w:color w:val="auto"/>
          <w:sz w:val="32"/>
          <w:szCs w:val="32"/>
          <w:highlight w:val="none"/>
          <w:u w:val="none" w:color="auto"/>
          <w:lang w:eastAsia="zh-CN"/>
        </w:rPr>
      </w:pPr>
      <w:r>
        <w:rPr>
          <w:rFonts w:hint="eastAsia" w:ascii="Times New Roman" w:hAnsi="Times New Roman" w:eastAsia="仿宋" w:cs="Times New Roman"/>
          <w:color w:val="auto"/>
          <w:sz w:val="32"/>
          <w:szCs w:val="32"/>
          <w:highlight w:val="none"/>
          <w:u w:val="none" w:color="auto"/>
          <w:lang w:eastAsia="zh-CN"/>
        </w:rPr>
        <w:br w:type="page"/>
      </w:r>
    </w:p>
    <w:p>
      <w:pPr>
        <w:pStyle w:val="2"/>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黑体" w:hAnsi="黑体" w:eastAsia="黑体" w:cs="黑体"/>
          <w:color w:val="auto"/>
          <w:sz w:val="32"/>
          <w:szCs w:val="32"/>
        </w:rPr>
      </w:pPr>
      <w:bookmarkStart w:id="9" w:name="_Toc6043"/>
      <w:r>
        <w:rPr>
          <w:rFonts w:hint="eastAsia" w:ascii="黑体" w:hAnsi="黑体" w:eastAsia="黑体" w:cs="黑体"/>
          <w:color w:val="auto"/>
          <w:sz w:val="32"/>
          <w:szCs w:val="32"/>
        </w:rPr>
        <w:t>二、环境管理情况</w:t>
      </w:r>
      <w:bookmarkEnd w:id="9"/>
    </w:p>
    <w:p>
      <w:pPr>
        <w:pStyle w:val="14"/>
        <w:keepNext w:val="0"/>
        <w:keepLines w:val="0"/>
        <w:pageBreakBefore w:val="0"/>
        <w:kinsoku/>
        <w:wordWrap/>
        <w:overflowPunct/>
        <w:topLinePunct w:val="0"/>
        <w:autoSpaceDE/>
        <w:autoSpaceDN/>
        <w:bidi w:val="0"/>
        <w:snapToGrid w:val="0"/>
        <w:spacing w:after="0" w:line="560" w:lineRule="exact"/>
        <w:ind w:left="0" w:leftChars="0" w:firstLine="643"/>
        <w:jc w:val="both"/>
        <w:textAlignment w:val="auto"/>
        <w:outlineLvl w:val="9"/>
        <w:rPr>
          <w:rFonts w:hint="eastAsia" w:ascii="仿宋" w:hAnsi="仿宋" w:eastAsia="仿宋" w:cs="仿宋"/>
          <w:color w:val="auto"/>
          <w:sz w:val="32"/>
          <w:szCs w:val="32"/>
          <w:u w:val="none" w:color="auto"/>
        </w:rPr>
      </w:pPr>
      <w:r>
        <w:rPr>
          <w:rFonts w:hint="eastAsia" w:ascii="仿宋" w:hAnsi="仿宋" w:eastAsia="仿宋" w:cs="仿宋"/>
          <w:b/>
          <w:bCs/>
          <w:color w:val="auto"/>
          <w:sz w:val="32"/>
          <w:szCs w:val="32"/>
          <w:u w:val="none" w:color="auto"/>
        </w:rPr>
        <w:t>（一）规划环评批复要求落实情况</w:t>
      </w:r>
    </w:p>
    <w:p>
      <w:pPr>
        <w:pStyle w:val="14"/>
        <w:keepNext w:val="0"/>
        <w:keepLines w:val="0"/>
        <w:pageBreakBefore w:val="0"/>
        <w:kinsoku/>
        <w:wordWrap/>
        <w:overflowPunct/>
        <w:topLinePunct w:val="0"/>
        <w:autoSpaceDE/>
        <w:autoSpaceDN/>
        <w:bidi w:val="0"/>
        <w:snapToGrid w:val="0"/>
        <w:spacing w:after="0" w:line="560" w:lineRule="exact"/>
        <w:ind w:left="0" w:leftChars="0" w:firstLine="643"/>
        <w:textAlignment w:val="auto"/>
        <w:outlineLvl w:val="9"/>
        <w:rPr>
          <w:rFonts w:hint="eastAsia" w:ascii="Times New Roman" w:hAnsi="Times New Roman" w:eastAsia="仿宋_GB2312" w:cs="仿宋_GB2312"/>
          <w:color w:val="auto"/>
          <w:sz w:val="32"/>
          <w:szCs w:val="32"/>
          <w:u w:val="none" w:color="auto"/>
          <w:lang w:eastAsia="zh-CN"/>
        </w:rPr>
      </w:pPr>
      <w:r>
        <w:rPr>
          <w:rFonts w:hint="eastAsia" w:ascii="Times New Roman" w:hAnsi="Times New Roman" w:eastAsia="仿宋_GB2312" w:cs="仿宋_GB2312"/>
          <w:color w:val="auto"/>
          <w:sz w:val="32"/>
          <w:szCs w:val="32"/>
          <w:u w:val="none" w:color="auto"/>
          <w:lang w:val="en-US" w:eastAsia="zh-CN"/>
        </w:rPr>
        <w:t>1.园区</w:t>
      </w:r>
      <w:r>
        <w:rPr>
          <w:rFonts w:hint="eastAsia" w:ascii="Times New Roman" w:hAnsi="Times New Roman" w:eastAsia="仿宋_GB2312" w:cs="仿宋_GB2312"/>
          <w:color w:val="auto"/>
          <w:sz w:val="32"/>
          <w:szCs w:val="32"/>
          <w:u w:val="none" w:color="auto"/>
        </w:rPr>
        <w:t>规划环评批复</w:t>
      </w:r>
      <w:r>
        <w:rPr>
          <w:rFonts w:hint="eastAsia" w:ascii="Times New Roman" w:hAnsi="Times New Roman" w:eastAsia="仿宋_GB2312" w:cs="仿宋_GB2312"/>
          <w:color w:val="auto"/>
          <w:sz w:val="32"/>
          <w:szCs w:val="32"/>
          <w:u w:val="none" w:color="auto"/>
          <w:lang w:eastAsia="zh-CN"/>
        </w:rPr>
        <w:t>（湘环评</w:t>
      </w:r>
      <w:r>
        <w:rPr>
          <w:rFonts w:hint="eastAsia" w:ascii="仿宋" w:hAnsi="仿宋" w:eastAsia="仿宋" w:cs="仿宋"/>
          <w:color w:val="auto"/>
          <w:sz w:val="32"/>
          <w:szCs w:val="32"/>
          <w:u w:val="none" w:color="auto"/>
          <w:lang w:eastAsia="zh-CN"/>
        </w:rPr>
        <w:t>〔</w:t>
      </w:r>
      <w:r>
        <w:rPr>
          <w:rFonts w:hint="eastAsia" w:ascii="仿宋" w:hAnsi="仿宋" w:eastAsia="仿宋" w:cs="仿宋"/>
          <w:color w:val="auto"/>
          <w:sz w:val="32"/>
          <w:szCs w:val="32"/>
          <w:u w:val="none" w:color="auto"/>
          <w:lang w:val="en-US" w:eastAsia="zh-CN"/>
        </w:rPr>
        <w:t>2013</w:t>
      </w:r>
      <w:r>
        <w:rPr>
          <w:rFonts w:hint="eastAsia" w:ascii="仿宋" w:hAnsi="仿宋" w:eastAsia="仿宋" w:cs="仿宋"/>
          <w:color w:val="auto"/>
          <w:sz w:val="32"/>
          <w:szCs w:val="32"/>
          <w:u w:val="none" w:color="auto"/>
          <w:lang w:eastAsia="zh-CN"/>
        </w:rPr>
        <w:t>〕</w:t>
      </w:r>
      <w:r>
        <w:rPr>
          <w:rFonts w:hint="eastAsia" w:ascii="仿宋" w:hAnsi="仿宋" w:eastAsia="仿宋" w:cs="仿宋"/>
          <w:color w:val="auto"/>
          <w:sz w:val="32"/>
          <w:szCs w:val="32"/>
          <w:u w:val="none" w:color="auto"/>
          <w:lang w:val="en-US" w:eastAsia="zh-CN"/>
        </w:rPr>
        <w:t>314号）落实情况</w:t>
      </w:r>
      <w:r>
        <w:rPr>
          <w:rFonts w:hint="eastAsia" w:ascii="Times New Roman" w:hAnsi="Times New Roman" w:eastAsia="仿宋_GB2312" w:cs="仿宋_GB2312"/>
          <w:color w:val="auto"/>
          <w:sz w:val="32"/>
          <w:szCs w:val="32"/>
          <w:u w:val="none" w:color="auto"/>
          <w:lang w:eastAsia="zh-CN"/>
        </w:rPr>
        <w:t>，详见下表：</w:t>
      </w:r>
    </w:p>
    <w:p>
      <w:pPr>
        <w:pStyle w:val="14"/>
        <w:keepNext w:val="0"/>
        <w:keepLines w:val="0"/>
        <w:pageBreakBefore w:val="0"/>
        <w:kinsoku/>
        <w:wordWrap/>
        <w:overflowPunct/>
        <w:topLinePunct w:val="0"/>
        <w:autoSpaceDE/>
        <w:autoSpaceDN/>
        <w:bidi w:val="0"/>
        <w:snapToGrid w:val="0"/>
        <w:spacing w:after="0" w:line="560" w:lineRule="exact"/>
        <w:ind w:left="0" w:leftChars="0" w:firstLine="0" w:firstLineChars="0"/>
        <w:jc w:val="center"/>
        <w:textAlignment w:val="auto"/>
        <w:outlineLvl w:val="9"/>
        <w:rPr>
          <w:rFonts w:hint="eastAsia" w:ascii="Times New Roman" w:hAnsi="Times New Roman" w:eastAsia="仿宋_GB2312" w:cs="仿宋_GB2312"/>
          <w:color w:val="auto"/>
          <w:sz w:val="32"/>
          <w:szCs w:val="32"/>
          <w:u w:val="none" w:color="auto"/>
          <w:lang w:eastAsia="zh-CN"/>
        </w:rPr>
      </w:pPr>
      <w:r>
        <w:rPr>
          <w:rFonts w:hint="eastAsia" w:ascii="Times New Roman" w:hAnsi="Times New Roman" w:eastAsia="仿宋_GB2312" w:cs="仿宋_GB2312"/>
          <w:b/>
          <w:bCs/>
          <w:color w:val="auto"/>
          <w:sz w:val="28"/>
          <w:szCs w:val="28"/>
          <w:u w:val="none" w:color="auto"/>
          <w:lang w:eastAsia="zh-CN"/>
        </w:rPr>
        <w:t>湘西高新区湘环评〔</w:t>
      </w:r>
      <w:r>
        <w:rPr>
          <w:rFonts w:hint="eastAsia" w:ascii="Times New Roman" w:hAnsi="Times New Roman" w:eastAsia="仿宋_GB2312" w:cs="仿宋_GB2312"/>
          <w:b/>
          <w:bCs/>
          <w:color w:val="auto"/>
          <w:sz w:val="28"/>
          <w:szCs w:val="28"/>
          <w:u w:val="none" w:color="auto"/>
          <w:lang w:val="en-US" w:eastAsia="zh-CN"/>
        </w:rPr>
        <w:t>2013</w:t>
      </w:r>
      <w:r>
        <w:rPr>
          <w:rFonts w:hint="eastAsia" w:ascii="Times New Roman" w:hAnsi="Times New Roman" w:eastAsia="仿宋_GB2312" w:cs="仿宋_GB2312"/>
          <w:b/>
          <w:bCs/>
          <w:color w:val="auto"/>
          <w:sz w:val="28"/>
          <w:szCs w:val="28"/>
          <w:u w:val="none" w:color="auto"/>
          <w:lang w:eastAsia="zh-CN"/>
        </w:rPr>
        <w:t>〕</w:t>
      </w:r>
      <w:r>
        <w:rPr>
          <w:rFonts w:hint="eastAsia" w:ascii="Times New Roman" w:hAnsi="Times New Roman" w:eastAsia="仿宋_GB2312" w:cs="仿宋_GB2312"/>
          <w:b/>
          <w:bCs/>
          <w:color w:val="auto"/>
          <w:sz w:val="28"/>
          <w:szCs w:val="28"/>
          <w:u w:val="none" w:color="auto"/>
          <w:lang w:val="en-US" w:eastAsia="zh-CN"/>
        </w:rPr>
        <w:t>314号落</w:t>
      </w:r>
      <w:r>
        <w:rPr>
          <w:rFonts w:hint="eastAsia" w:ascii="Times New Roman" w:hAnsi="Times New Roman" w:eastAsia="仿宋_GB2312" w:cs="仿宋_GB2312"/>
          <w:b/>
          <w:bCs/>
          <w:color w:val="auto"/>
          <w:sz w:val="28"/>
          <w:szCs w:val="28"/>
          <w:u w:val="none" w:color="auto"/>
          <w:lang w:eastAsia="zh-CN"/>
        </w:rPr>
        <w:t>实情况</w:t>
      </w:r>
    </w:p>
    <w:tbl>
      <w:tblPr>
        <w:tblStyle w:val="16"/>
        <w:tblW w:w="84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66"/>
        <w:gridCol w:w="3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vertAlign w:val="baseline"/>
              </w:rPr>
            </w:pPr>
            <w:r>
              <w:rPr>
                <w:rFonts w:hint="eastAsia" w:ascii="仿宋" w:hAnsi="仿宋" w:eastAsia="仿宋" w:cs="仿宋"/>
                <w:b/>
                <w:i w:val="0"/>
                <w:color w:val="auto"/>
                <w:kern w:val="0"/>
                <w:sz w:val="21"/>
                <w:szCs w:val="21"/>
                <w:u w:val="none"/>
                <w:lang w:val="en-US" w:eastAsia="zh-CN" w:bidi="ar"/>
              </w:rPr>
              <w:t>序号</w:t>
            </w:r>
          </w:p>
        </w:tc>
        <w:tc>
          <w:tcPr>
            <w:tcW w:w="3766"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vertAlign w:val="baseline"/>
              </w:rPr>
            </w:pPr>
            <w:r>
              <w:rPr>
                <w:rFonts w:hint="eastAsia" w:ascii="仿宋" w:hAnsi="仿宋" w:eastAsia="仿宋" w:cs="仿宋"/>
                <w:b/>
                <w:i w:val="0"/>
                <w:color w:val="auto"/>
                <w:kern w:val="0"/>
                <w:sz w:val="21"/>
                <w:szCs w:val="21"/>
                <w:u w:val="none"/>
                <w:lang w:val="en-US" w:eastAsia="zh-CN" w:bidi="ar"/>
              </w:rPr>
              <w:t>规划环评批复要求</w:t>
            </w:r>
          </w:p>
        </w:tc>
        <w:tc>
          <w:tcPr>
            <w:tcW w:w="3944"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vertAlign w:val="baseline"/>
              </w:rPr>
            </w:pPr>
            <w:r>
              <w:rPr>
                <w:rFonts w:hint="eastAsia" w:ascii="仿宋" w:hAnsi="仿宋" w:eastAsia="仿宋" w:cs="仿宋"/>
                <w:b/>
                <w:i w:val="0"/>
                <w:color w:val="auto"/>
                <w:kern w:val="0"/>
                <w:sz w:val="21"/>
                <w:szCs w:val="21"/>
                <w:u w:val="none"/>
                <w:lang w:val="en-US" w:eastAsia="zh-CN" w:bidi="ar"/>
              </w:rPr>
              <w:t>批复落实情况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7"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vertAlign w:val="baseline"/>
              </w:rPr>
            </w:pPr>
            <w:r>
              <w:rPr>
                <w:rFonts w:hint="eastAsia" w:ascii="仿宋" w:hAnsi="仿宋" w:eastAsia="仿宋" w:cs="仿宋"/>
                <w:b/>
                <w:i w:val="0"/>
                <w:color w:val="auto"/>
                <w:kern w:val="0"/>
                <w:sz w:val="21"/>
                <w:szCs w:val="21"/>
                <w:u w:val="none"/>
                <w:lang w:val="en-US" w:eastAsia="zh-CN" w:bidi="ar"/>
              </w:rPr>
              <w:t>1</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vertAlign w:val="baseline"/>
              </w:rPr>
            </w:pPr>
            <w:r>
              <w:rPr>
                <w:rFonts w:hint="eastAsia" w:ascii="仿宋" w:hAnsi="仿宋" w:eastAsia="仿宋" w:cs="仿宋"/>
                <w:i w:val="0"/>
                <w:color w:val="auto"/>
                <w:kern w:val="0"/>
                <w:sz w:val="21"/>
                <w:szCs w:val="21"/>
                <w:u w:val="none"/>
                <w:lang w:val="en-US" w:eastAsia="zh-CN" w:bidi="ar"/>
              </w:rPr>
              <w:t xml:space="preserve">    进一步优化规划布局，高新区内各功能区相对集中布置，严格按照功能区划进行有序开发建设，处理好高新区内部各功能组团及高新区与周边农业、生活、配套服务等各功能组团间的关系，充分利用自然地形和绿化隔离带使各功能区隔离，按报告书要求做好落实兴田产业片区、社塘坡产业片区内安置点、居民区周边的用地规划控制要求，确保功能区划明确、产业相对集中、生态环境优良，避免和减缓功能区之间相互干扰影响。</w:t>
            </w:r>
          </w:p>
        </w:tc>
        <w:tc>
          <w:tcPr>
            <w:tcW w:w="3944" w:type="dxa"/>
            <w:vAlign w:val="center"/>
          </w:tcPr>
          <w:p>
            <w:pPr>
              <w:keepNext w:val="0"/>
              <w:keepLines w:val="0"/>
              <w:widowControl/>
              <w:suppressLineNumbers w:val="0"/>
              <w:spacing w:before="0" w:beforeAutospacing="0" w:after="0" w:afterAutospacing="0"/>
              <w:ind w:left="0" w:right="0" w:firstLine="420" w:firstLineChars="200"/>
              <w:jc w:val="left"/>
              <w:textAlignment w:val="center"/>
              <w:rPr>
                <w:rFonts w:hint="eastAsia" w:ascii="仿宋" w:hAnsi="仿宋" w:eastAsia="仿宋" w:cs="仿宋"/>
                <w:color w:val="auto"/>
                <w:sz w:val="21"/>
                <w:szCs w:val="21"/>
                <w:vertAlign w:val="baseline"/>
              </w:rPr>
            </w:pPr>
            <w:r>
              <w:rPr>
                <w:rFonts w:hint="eastAsia" w:ascii="仿宋" w:hAnsi="仿宋" w:eastAsia="仿宋" w:cs="仿宋"/>
                <w:i w:val="0"/>
                <w:color w:val="auto"/>
                <w:kern w:val="0"/>
                <w:sz w:val="21"/>
                <w:szCs w:val="21"/>
                <w:u w:val="none"/>
                <w:lang w:val="en-US" w:eastAsia="zh-CN" w:bidi="ar"/>
              </w:rPr>
              <w:t>湘西高新区始终坚持依法规划建设，省人民政府批准了《湖南湘西吉凤经济开发区总体规划（2003-2020）》（湘政函〔2007〕51号）；湘西州人民政府先后以州政函〔2014〕95号、州政函〔2014〕96号、州政函〔2016〕49号批准了《湘西经济开发区核心区控制性详细规划》《湘西经济开发区双河片区控制性详细规划》《湘西经济开发区双塘组团控制性详细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vertAlign w:val="baseline"/>
              </w:rPr>
            </w:pPr>
            <w:r>
              <w:rPr>
                <w:rFonts w:hint="eastAsia" w:ascii="仿宋" w:hAnsi="仿宋" w:eastAsia="仿宋" w:cs="仿宋"/>
                <w:b/>
                <w:i w:val="0"/>
                <w:color w:val="auto"/>
                <w:kern w:val="0"/>
                <w:sz w:val="21"/>
                <w:szCs w:val="21"/>
                <w:u w:val="none"/>
                <w:lang w:val="en-US" w:eastAsia="zh-CN" w:bidi="ar"/>
              </w:rPr>
              <w:t>2</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vertAlign w:val="baseline"/>
              </w:rPr>
            </w:pPr>
            <w:r>
              <w:rPr>
                <w:rFonts w:hint="eastAsia" w:ascii="仿宋" w:hAnsi="仿宋" w:eastAsia="仿宋" w:cs="仿宋"/>
                <w:i w:val="0"/>
                <w:color w:val="auto"/>
                <w:kern w:val="0"/>
                <w:sz w:val="21"/>
                <w:szCs w:val="21"/>
                <w:u w:val="none"/>
                <w:lang w:val="en-US" w:eastAsia="zh-CN" w:bidi="ar"/>
              </w:rPr>
              <w:t xml:space="preserve">    严格执行高新区入园企业准入制度，入园项目选址必须符合高新区总体发展规划、用地规划、环保规划及主导产业定位要求，不得引进国家明令淘汰和禁止发展的能耗物耗高、环境污染严重、不符合产业政策的建设项目，禁止新引进三类工业，禁止引进线路板、初级冶炼等排水涉重金属企业，严格控制发展气型污染企业及废水排放量大的项目。管委会和地方环保行政主管部门必须按照报告书提出的高新区准入限制行业类型一览表做好项目的招商把关，在入园项目前期和建设期，必须严格执行建设项目环境影响评价和“三同时”管理制度，推行清洁生产工艺，确保排污浓度、总量满足达标排放和总量控制要求；加强对规划区内企业的环境监管，确保污防设施正常运营、达标排放</w:t>
            </w:r>
            <w:r>
              <w:rPr>
                <w:rFonts w:hint="eastAsia" w:ascii="仿宋" w:hAnsi="仿宋" w:eastAsia="仿宋" w:cs="仿宋"/>
                <w:i w:val="0"/>
                <w:color w:val="auto"/>
                <w:kern w:val="0"/>
                <w:sz w:val="21"/>
                <w:szCs w:val="21"/>
                <w:highlight w:val="none"/>
                <w:u w:val="none"/>
                <w:lang w:val="en-US" w:eastAsia="zh-CN" w:bidi="ar"/>
              </w:rPr>
              <w:t>，</w:t>
            </w:r>
            <w:r>
              <w:rPr>
                <w:rFonts w:hint="eastAsia" w:ascii="仿宋" w:hAnsi="仿宋" w:eastAsia="仿宋" w:cs="仿宋"/>
                <w:i w:val="0"/>
                <w:color w:val="auto"/>
                <w:kern w:val="0"/>
                <w:sz w:val="21"/>
                <w:szCs w:val="21"/>
                <w:u w:val="none"/>
                <w:lang w:val="en-US" w:eastAsia="zh-CN" w:bidi="ar"/>
              </w:rPr>
              <w:t>总体满足产业定位和地方环保管理要求。加快钟家寨水厂取水口上移搬迁工作，将取水口移至开发区上游，并调整原取水口上游河段饮用水源保护区水域功能。在此项工作完成前，高新区扩区涉及万溶江两侧1公里范围内不得新引进工业生产项目。</w:t>
            </w:r>
          </w:p>
        </w:tc>
        <w:tc>
          <w:tcPr>
            <w:tcW w:w="3944" w:type="dxa"/>
            <w:vAlign w:val="center"/>
          </w:tcPr>
          <w:p>
            <w:pPr>
              <w:keepNext w:val="0"/>
              <w:keepLines w:val="0"/>
              <w:widowControl/>
              <w:suppressLineNumbers w:val="0"/>
              <w:spacing w:before="0" w:beforeAutospacing="0" w:after="0" w:afterAutospacing="0"/>
              <w:ind w:left="0" w:right="0" w:firstLine="420"/>
              <w:jc w:val="left"/>
              <w:textAlignment w:val="center"/>
              <w:rPr>
                <w:rFonts w:hint="eastAsia" w:ascii="仿宋" w:hAnsi="仿宋" w:eastAsia="仿宋" w:cs="仿宋"/>
                <w:i w:val="0"/>
                <w:color w:val="auto"/>
                <w:kern w:val="0"/>
                <w:sz w:val="21"/>
                <w:szCs w:val="21"/>
                <w:u w:val="none"/>
                <w:lang w:val="en-US" w:eastAsia="zh-CN" w:bidi="ar"/>
              </w:rPr>
            </w:pPr>
            <w:r>
              <w:rPr>
                <w:rFonts w:hint="eastAsia" w:ascii="仿宋" w:hAnsi="仿宋" w:eastAsia="仿宋" w:cs="仿宋"/>
                <w:i w:val="0"/>
                <w:color w:val="auto"/>
                <w:kern w:val="0"/>
                <w:sz w:val="21"/>
                <w:szCs w:val="21"/>
                <w:u w:val="none"/>
                <w:lang w:val="en-US" w:eastAsia="zh-CN" w:bidi="ar"/>
              </w:rPr>
              <w:t>湘西高新区在项目入园方面，始终严格执行国家产业政策、环保法律法规和高新区总体规划及环评批复要求，没有引进环评报告书提出的准入限制行业类型一览表内的项目，以及环评批复提出的禁止类企业。对拟入园项目，严格执行建设项目环境影响评价和“三同时”管理制度，确保排污浓度、总量满足达标排放和总量控制要求。加强对园区内企业的环境监管，确保污防设施正常运营、达标排放。</w:t>
            </w:r>
          </w:p>
          <w:p>
            <w:pPr>
              <w:keepNext w:val="0"/>
              <w:keepLines w:val="0"/>
              <w:widowControl/>
              <w:suppressLineNumbers w:val="0"/>
              <w:spacing w:before="0" w:beforeAutospacing="0" w:after="0" w:afterAutospacing="0"/>
              <w:ind w:left="0" w:right="0" w:firstLine="420"/>
              <w:jc w:val="left"/>
              <w:textAlignment w:val="center"/>
              <w:rPr>
                <w:rFonts w:hint="eastAsia" w:ascii="仿宋" w:hAnsi="仿宋" w:eastAsia="仿宋" w:cs="仿宋"/>
                <w:color w:val="auto"/>
                <w:sz w:val="21"/>
                <w:szCs w:val="21"/>
                <w:vertAlign w:val="baseline"/>
              </w:rPr>
            </w:pPr>
            <w:r>
              <w:rPr>
                <w:rFonts w:hint="eastAsia" w:ascii="仿宋" w:hAnsi="仿宋" w:eastAsia="仿宋" w:cs="仿宋"/>
                <w:i w:val="0"/>
                <w:color w:val="FF0000"/>
                <w:kern w:val="0"/>
                <w:sz w:val="21"/>
                <w:szCs w:val="21"/>
                <w:u w:val="none"/>
                <w:lang w:val="en-US" w:eastAsia="zh-CN" w:bidi="ar"/>
              </w:rPr>
              <w:t>吉首市钟家寨水厂已经停止在万溶江取水，饮用水源取水点改为吉首八月湖水库。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6"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3</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落实高新区水污染控制措施。高新区排水实施雨污分流，按报告书要求取消规划拟建的竿子坪污水处理厂，近、中期开发范围内污水经规划污水管网收集后排入乾州污水处理厂处理，远期在高新区南部新建双塘污水处理厂对高新区内污水全面收集处理。双塘污水处理厂规模、工艺等另行环评论证，其尾水排放执行《城镇污水处理厂污染物排放标准》（GB18918-2002）中的一级B标准，经管道排入沱江。加快乾州污水处理厂二期扩建及配套管网工程等基础设施建设，截污、排污管网必须与道路建设、区域开发、项目引进同步进行，保障高新区废水实现集中深度处理，禁止高新区污水排入万溶江饮用水源保护区及上游河段。在高新区各片区与集中污水处理厂接管运营完成前，应限制引进水型污染企业，已建成企业废水应经自行处理满足《污水综合排放标准》（GB8978-1996）一级标准后方可外排。</w:t>
            </w:r>
          </w:p>
        </w:tc>
        <w:tc>
          <w:tcPr>
            <w:tcW w:w="3944" w:type="dxa"/>
            <w:vAlign w:val="center"/>
          </w:tcPr>
          <w:p>
            <w:pPr>
              <w:keepNext w:val="0"/>
              <w:keepLines w:val="0"/>
              <w:widowControl/>
              <w:suppressLineNumbers w:val="0"/>
              <w:spacing w:before="0" w:beforeAutospacing="0" w:after="0" w:afterAutospacing="0"/>
              <w:ind w:left="0" w:right="0" w:firstLine="420" w:firstLineChars="20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湘西高新区内排水管网按照雨污分流建设，累计完成了31.69公里的主次干道及配套设施建设。建成区生活污水经化粪池处理后排入排污管网，工业废水经企业自行处理后达到各企业行业污水排放标准和乾州污水处理厂接纳标准要求后排入园内的污水管网，统一进入乾州污水处理厂统一处理。凤凰竿子坪污水处理厂建设已取消，吉首双塘片区目前尚未开发，乾州污水处理厂二期3万吨/日扩建工程于2017年12月建成投入使用，目前总规模达到6万吨/日。湘西高新区严格限制引进水型污染企业，区内已建成企业废水预处理达到城市污水接纳标准后排入城市污水管网，无直接向万溶江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0"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4</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按报告书要求做好高新区大气污染控制措施。管委会应积极推广清洁能源，逐步减少燃煤用量，园区内不得燃用中、高硫煤。建立高新区清洁生产管理考核机制，对各企业工艺废气产出的生产节点，应配置废气收集与净化处理装置，确保达标排放；加强生产工艺研究与技术改进，采取有效措施，减少入园企业工艺废气的无组织排放；入园企业各生产装置排放的废气须经处理达到相应的行业排放标准及《大气污染物综合排放标准》中二级标准要求。合理优化工业布局，在不同性质的工业企业间设置合理的间隔距离，防止相互干扰。</w:t>
            </w:r>
          </w:p>
        </w:tc>
        <w:tc>
          <w:tcPr>
            <w:tcW w:w="3944"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湘西高新区内原有的燃煤锅炉已按照大气污染防治行动计划要求全部拆除淘汰，未新上燃煤锅炉。园区内能源以天然气为主，目前已累计建设燃气主供气管线10余公里，管道天然气供给实现入户。在建设项目环评及“三同时”验收环节，严格执行本规划环评及批复对大气污染防治的要求，入园企业排放的废气能够达到相应的行业排放标准及《大气污染物综合排放标准》中二级标准。严格执行开发区总体规划、控制性详细规划有关要求，加强自然山体及生态保护，落实绿化及隔离设施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1"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5</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做好高新区工业固体废物和生活垃圾的分类收集、转运、综合利用和无害化处理，建立统一的固废收集、贮存、运输、综合利用和安全处置的运营管理体系。推行清洁生产，减少固体废物产生量；加强固体废物的资源化进程，提高综合利用率；规范固体废物处理措施，严防二次污染。</w:t>
            </w:r>
          </w:p>
        </w:tc>
        <w:tc>
          <w:tcPr>
            <w:tcW w:w="3944"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湘西高新区严格按照固体废物管理和清洁生产要求，禁止引进废物产生量大的企业，目前区内没有大宗工业固体废物产生，园区已建设小微企业危险废物集中贮存中心，各企业产生的小量工业固体废物均按要求综合利用或规范处置。区内生活垃圾采取服务外包方式，委托有实力公司进行分类收集、转运至吉首市生活垃圾填埋场进行无害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6</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高新区要建立专职环境监督管理机构，建立健全环境风险事故防范措施和应急预案，严防环境风险事故发生。</w:t>
            </w:r>
          </w:p>
        </w:tc>
        <w:tc>
          <w:tcPr>
            <w:tcW w:w="3944" w:type="dxa"/>
            <w:vAlign w:val="center"/>
          </w:tcPr>
          <w:p>
            <w:pPr>
              <w:keepNext w:val="0"/>
              <w:keepLines w:val="0"/>
              <w:widowControl/>
              <w:suppressLineNumbers w:val="0"/>
              <w:spacing w:before="0" w:beforeAutospacing="0" w:after="0" w:afterAutospacing="0"/>
              <w:ind w:left="0" w:right="0" w:firstLine="420"/>
              <w:jc w:val="left"/>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湘西高新区2024年按要求修编了《湖南湘西高新技术产业开发区突发环境事件应急预案》。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5"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7</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按高新区开发规划统筹制定拆迁安置方案，妥善落实移民生产生活安置措施，防止移民再次安置和次生环境问题。</w:t>
            </w:r>
          </w:p>
        </w:tc>
        <w:tc>
          <w:tcPr>
            <w:tcW w:w="3944"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湘西高新区在开发建设过程中高度重视居民拆迁安置问题，将安置点建设纳入园区总体规划及相关控制性详细规划，对拆迁对象实行社区集中安置，区内就业、公益性岗位设置、扶贫开发等向拆迁安置对象倾斜。配套完善安置区生产及污染防治设施，安置区生活污水全部进入城市污水收集管网，进入乾州污水处理厂集中处理，生活垃圾纳入服务外包范围集中收集处理，没有造成次生环境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8</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做好建设期的生态保护和水土保持工作。高新区规划范围内地势起伏较大，在建设过程中应尽可能充分利用地势高差做好分区隔离，减少土方开挖量；按照景观设计和功能分隔要求保留一定的自然山体绿地，切实做好生态保护、恢复和补偿；落实水土保持措施，对土石方开挖、堆存及回填要实施围挡、护坡等措施，裸露地及时恢复植被，防止水土流失。</w:t>
            </w:r>
          </w:p>
        </w:tc>
        <w:tc>
          <w:tcPr>
            <w:tcW w:w="3944"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湘西高新区在开发建设过程中严格按规划保护自然山体及生态环境，禁止大填大挖，对征地面积在1公顷以上或者挖填土石方总量在1万方以上的开发建设项目，严格按要求编制水土保持方案，落实围挡、护坡恢复植被等措施，防止水土流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9</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污染物总量控制：COD≤707t/a、氨氮≤94.3t/a、S02≤291t/a、NOx≤340t/a，总量指标纳入当地环保部门污染物总量控制管理。</w:t>
            </w:r>
          </w:p>
        </w:tc>
        <w:tc>
          <w:tcPr>
            <w:tcW w:w="3944"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湘西高新区在建设项目环评阶段实行污染物总量控制前置，没有总量来源或总量替代的工业项目一律不予审批。日常监管中严格执行排污许可证制度，做到增产不增污或增产减污。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10</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高新区规划必须与区域宏观规划相协调。如区域宏观规划进行调整，高新区规划须做相应调整并进行环境可行性论证。</w:t>
            </w:r>
          </w:p>
        </w:tc>
        <w:tc>
          <w:tcPr>
            <w:tcW w:w="3944"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i w:val="0"/>
                <w:color w:val="auto"/>
                <w:kern w:val="0"/>
                <w:sz w:val="21"/>
                <w:szCs w:val="21"/>
                <w:highlight w:val="none"/>
                <w:u w:val="none"/>
                <w:lang w:val="en-US" w:eastAsia="zh-CN" w:bidi="ar"/>
              </w:rPr>
              <w:t xml:space="preserve">    湘西高新区规划包括规模和用地布局均符合省人民政府批准的《吉首市城市总体规划（2003-2020）》（2018年修改）。</w:t>
            </w:r>
          </w:p>
        </w:tc>
      </w:tr>
    </w:tbl>
    <w:p>
      <w:pPr>
        <w:pStyle w:val="14"/>
        <w:keepNext w:val="0"/>
        <w:keepLines w:val="0"/>
        <w:pageBreakBefore w:val="0"/>
        <w:kinsoku/>
        <w:wordWrap/>
        <w:overflowPunct/>
        <w:topLinePunct w:val="0"/>
        <w:autoSpaceDE/>
        <w:autoSpaceDN/>
        <w:bidi w:val="0"/>
        <w:snapToGrid w:val="0"/>
        <w:spacing w:after="0" w:line="560" w:lineRule="exact"/>
        <w:ind w:left="0" w:leftChars="0" w:firstLine="643"/>
        <w:textAlignment w:val="auto"/>
        <w:outlineLvl w:val="9"/>
        <w:rPr>
          <w:rFonts w:hint="eastAsia" w:ascii="Times New Roman" w:hAnsi="Times New Roman" w:eastAsia="仿宋_GB2312" w:cs="仿宋_GB2312"/>
          <w:color w:val="auto"/>
          <w:sz w:val="32"/>
          <w:szCs w:val="32"/>
          <w:highlight w:val="none"/>
          <w:u w:val="none" w:color="auto"/>
          <w:lang w:eastAsia="zh-CN"/>
        </w:rPr>
      </w:pPr>
      <w:r>
        <w:rPr>
          <w:rFonts w:hint="eastAsia" w:ascii="Times New Roman" w:hAnsi="Times New Roman" w:eastAsia="仿宋_GB2312" w:cs="仿宋_GB2312"/>
          <w:color w:val="auto"/>
          <w:sz w:val="32"/>
          <w:szCs w:val="32"/>
          <w:highlight w:val="none"/>
          <w:u w:val="none" w:color="auto"/>
          <w:lang w:val="en-US" w:eastAsia="zh-CN"/>
        </w:rPr>
        <w:t>2.</w:t>
      </w:r>
      <w:r>
        <w:rPr>
          <w:rFonts w:hint="eastAsia" w:ascii="Times New Roman" w:hAnsi="Times New Roman" w:eastAsia="仿宋_GB2312" w:cs="仿宋_GB2312"/>
          <w:color w:val="auto"/>
          <w:sz w:val="32"/>
          <w:szCs w:val="32"/>
          <w:highlight w:val="none"/>
          <w:u w:val="none" w:color="auto"/>
        </w:rPr>
        <w:t>园区</w:t>
      </w:r>
      <w:r>
        <w:rPr>
          <w:rFonts w:hint="eastAsia" w:ascii="Times New Roman" w:hAnsi="Times New Roman" w:eastAsia="仿宋_GB2312" w:cs="仿宋_GB2312"/>
          <w:color w:val="auto"/>
          <w:sz w:val="32"/>
          <w:szCs w:val="32"/>
          <w:highlight w:val="none"/>
          <w:u w:val="none" w:color="auto"/>
          <w:lang w:val="en-US" w:eastAsia="zh-CN"/>
        </w:rPr>
        <w:t>调扩区</w:t>
      </w:r>
      <w:r>
        <w:rPr>
          <w:rFonts w:hint="eastAsia" w:ascii="Times New Roman" w:hAnsi="Times New Roman" w:eastAsia="仿宋_GB2312" w:cs="仿宋_GB2312"/>
          <w:color w:val="auto"/>
          <w:sz w:val="32"/>
          <w:szCs w:val="32"/>
          <w:highlight w:val="none"/>
          <w:u w:val="none" w:color="auto"/>
        </w:rPr>
        <w:t>规划环评</w:t>
      </w:r>
      <w:r>
        <w:rPr>
          <w:rFonts w:hint="eastAsia" w:ascii="Times New Roman" w:hAnsi="Times New Roman" w:eastAsia="仿宋_GB2312" w:cs="仿宋_GB2312"/>
          <w:color w:val="auto"/>
          <w:sz w:val="32"/>
          <w:szCs w:val="32"/>
          <w:highlight w:val="none"/>
          <w:u w:val="none" w:color="auto"/>
          <w:lang w:eastAsia="zh-CN"/>
        </w:rPr>
        <w:t>审查意见（湘环评函</w:t>
      </w:r>
      <w:r>
        <w:rPr>
          <w:rFonts w:hint="eastAsia" w:ascii="仿宋" w:hAnsi="仿宋" w:eastAsia="仿宋" w:cs="仿宋"/>
          <w:color w:val="auto"/>
          <w:sz w:val="32"/>
          <w:szCs w:val="32"/>
          <w:highlight w:val="none"/>
          <w:u w:val="none" w:color="auto"/>
          <w:lang w:eastAsia="zh-CN"/>
        </w:rPr>
        <w:t>〔</w:t>
      </w:r>
      <w:r>
        <w:rPr>
          <w:rFonts w:hint="eastAsia" w:ascii="仿宋" w:hAnsi="仿宋" w:eastAsia="仿宋" w:cs="仿宋"/>
          <w:color w:val="auto"/>
          <w:sz w:val="32"/>
          <w:szCs w:val="32"/>
          <w:highlight w:val="none"/>
          <w:u w:val="none" w:color="auto"/>
          <w:lang w:val="en-US" w:eastAsia="zh-CN"/>
        </w:rPr>
        <w:t>2024</w:t>
      </w:r>
      <w:r>
        <w:rPr>
          <w:rFonts w:hint="eastAsia" w:ascii="仿宋" w:hAnsi="仿宋" w:eastAsia="仿宋" w:cs="仿宋"/>
          <w:color w:val="auto"/>
          <w:sz w:val="32"/>
          <w:szCs w:val="32"/>
          <w:highlight w:val="none"/>
          <w:u w:val="none" w:color="auto"/>
          <w:lang w:eastAsia="zh-CN"/>
        </w:rPr>
        <w:t>〕</w:t>
      </w:r>
      <w:r>
        <w:rPr>
          <w:rFonts w:hint="eastAsia" w:ascii="仿宋" w:hAnsi="仿宋" w:eastAsia="仿宋" w:cs="仿宋"/>
          <w:color w:val="auto"/>
          <w:sz w:val="32"/>
          <w:szCs w:val="32"/>
          <w:highlight w:val="none"/>
          <w:u w:val="none" w:color="auto"/>
          <w:lang w:val="en-US" w:eastAsia="zh-CN"/>
        </w:rPr>
        <w:t>45号）落实情况</w:t>
      </w:r>
      <w:r>
        <w:rPr>
          <w:rFonts w:hint="eastAsia" w:ascii="Times New Roman" w:hAnsi="Times New Roman" w:eastAsia="仿宋_GB2312" w:cs="仿宋_GB2312"/>
          <w:color w:val="auto"/>
          <w:sz w:val="32"/>
          <w:szCs w:val="32"/>
          <w:highlight w:val="none"/>
          <w:u w:val="none" w:color="auto"/>
          <w:lang w:eastAsia="zh-CN"/>
        </w:rPr>
        <w:t>，详见下表：</w:t>
      </w:r>
    </w:p>
    <w:p>
      <w:pPr>
        <w:pStyle w:val="14"/>
        <w:keepNext w:val="0"/>
        <w:keepLines w:val="0"/>
        <w:pageBreakBefore w:val="0"/>
        <w:kinsoku/>
        <w:wordWrap/>
        <w:overflowPunct/>
        <w:topLinePunct w:val="0"/>
        <w:autoSpaceDE/>
        <w:autoSpaceDN/>
        <w:bidi w:val="0"/>
        <w:snapToGrid w:val="0"/>
        <w:spacing w:after="0" w:line="560" w:lineRule="exact"/>
        <w:ind w:left="0" w:leftChars="0" w:firstLine="0" w:firstLineChars="0"/>
        <w:jc w:val="center"/>
        <w:textAlignment w:val="auto"/>
        <w:outlineLvl w:val="9"/>
        <w:rPr>
          <w:rFonts w:hint="eastAsia" w:ascii="Times New Roman" w:hAnsi="Times New Roman" w:eastAsia="仿宋_GB2312" w:cs="仿宋_GB2312"/>
          <w:color w:val="auto"/>
          <w:sz w:val="32"/>
          <w:szCs w:val="32"/>
          <w:highlight w:val="none"/>
          <w:u w:val="none" w:color="auto"/>
          <w:lang w:eastAsia="zh-CN"/>
        </w:rPr>
      </w:pPr>
      <w:r>
        <w:rPr>
          <w:rFonts w:hint="eastAsia" w:ascii="Times New Roman" w:hAnsi="Times New Roman" w:eastAsia="仿宋_GB2312" w:cs="仿宋_GB2312"/>
          <w:b/>
          <w:bCs/>
          <w:color w:val="auto"/>
          <w:sz w:val="28"/>
          <w:szCs w:val="28"/>
          <w:highlight w:val="none"/>
          <w:u w:val="none" w:color="auto"/>
          <w:lang w:eastAsia="zh-CN"/>
        </w:rPr>
        <w:t>湘西高新区湘环评函〔</w:t>
      </w:r>
      <w:r>
        <w:rPr>
          <w:rFonts w:hint="eastAsia" w:ascii="Times New Roman" w:hAnsi="Times New Roman" w:eastAsia="仿宋_GB2312" w:cs="仿宋_GB2312"/>
          <w:b/>
          <w:bCs/>
          <w:color w:val="auto"/>
          <w:sz w:val="28"/>
          <w:szCs w:val="28"/>
          <w:highlight w:val="none"/>
          <w:u w:val="none" w:color="auto"/>
          <w:lang w:val="en-US" w:eastAsia="zh-CN"/>
        </w:rPr>
        <w:t>2024</w:t>
      </w:r>
      <w:r>
        <w:rPr>
          <w:rFonts w:hint="eastAsia" w:ascii="Times New Roman" w:hAnsi="Times New Roman" w:eastAsia="仿宋_GB2312" w:cs="仿宋_GB2312"/>
          <w:b/>
          <w:bCs/>
          <w:color w:val="auto"/>
          <w:sz w:val="28"/>
          <w:szCs w:val="28"/>
          <w:highlight w:val="none"/>
          <w:u w:val="none" w:color="auto"/>
          <w:lang w:eastAsia="zh-CN"/>
        </w:rPr>
        <w:t>〕</w:t>
      </w:r>
      <w:r>
        <w:rPr>
          <w:rFonts w:hint="eastAsia" w:ascii="Times New Roman" w:hAnsi="Times New Roman" w:eastAsia="仿宋_GB2312" w:cs="仿宋_GB2312"/>
          <w:b/>
          <w:bCs/>
          <w:color w:val="auto"/>
          <w:sz w:val="28"/>
          <w:szCs w:val="28"/>
          <w:highlight w:val="none"/>
          <w:u w:val="none" w:color="auto"/>
          <w:lang w:val="en-US" w:eastAsia="zh-CN"/>
        </w:rPr>
        <w:t>45号</w:t>
      </w:r>
      <w:r>
        <w:rPr>
          <w:rFonts w:hint="eastAsia" w:ascii="Times New Roman" w:hAnsi="Times New Roman" w:eastAsia="仿宋_GB2312" w:cs="仿宋_GB2312"/>
          <w:b/>
          <w:bCs/>
          <w:color w:val="auto"/>
          <w:sz w:val="28"/>
          <w:szCs w:val="28"/>
          <w:highlight w:val="none"/>
          <w:u w:val="none" w:color="auto"/>
          <w:lang w:eastAsia="zh-CN"/>
        </w:rPr>
        <w:t>落实情况</w:t>
      </w:r>
    </w:p>
    <w:tbl>
      <w:tblPr>
        <w:tblStyle w:val="16"/>
        <w:tblW w:w="84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66"/>
        <w:gridCol w:w="3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序号</w:t>
            </w:r>
          </w:p>
        </w:tc>
        <w:tc>
          <w:tcPr>
            <w:tcW w:w="3766"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调扩区规划环评批复要求</w:t>
            </w:r>
          </w:p>
        </w:tc>
        <w:tc>
          <w:tcPr>
            <w:tcW w:w="3944"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批复落实情况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1</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做好功能布局，严格执行准入要求。园区在进行国土空间规划和开发建设过程中应从规划层面提升环境相容性，将空间管制融入园区规划实施全过程，充分规划好城区与园区的关系，做好空间功能布局规划；产业引进应落实园区生态环境分区管控要求，执行《报告书》提出的产业定位和产业生态环境准入清单。主园区的核心区大部分区域现状已发展成为城区，应控制工业生产和污染物排放规模，集中居住区周边现有工业项目应提高企业清洁生产水平，强化污染防治措施，减小环境影响，后续工业项目主要引导往东区及西区布局。</w:t>
            </w:r>
          </w:p>
        </w:tc>
        <w:tc>
          <w:tcPr>
            <w:tcW w:w="3944" w:type="dxa"/>
            <w:vAlign w:val="center"/>
          </w:tcPr>
          <w:p>
            <w:pPr>
              <w:keepNext w:val="0"/>
              <w:keepLines w:val="0"/>
              <w:widowControl/>
              <w:suppressLineNumbers w:val="0"/>
              <w:spacing w:before="0" w:beforeAutospacing="0" w:after="0" w:afterAutospacing="0"/>
              <w:ind w:left="0" w:right="0" w:firstLine="420" w:firstLineChars="20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1、园区后续开展</w:t>
            </w:r>
            <w:r>
              <w:rPr>
                <w:rFonts w:hint="eastAsia" w:ascii="仿宋" w:hAnsi="仿宋" w:eastAsia="仿宋" w:cs="仿宋"/>
                <w:color w:val="auto"/>
                <w:sz w:val="21"/>
                <w:szCs w:val="21"/>
                <w:highlight w:val="none"/>
                <w:vertAlign w:val="baseline"/>
                <w:lang w:eastAsia="zh-CN"/>
              </w:rPr>
              <w:t>国土空间规划</w:t>
            </w:r>
            <w:r>
              <w:rPr>
                <w:rFonts w:hint="eastAsia" w:ascii="仿宋" w:hAnsi="仿宋" w:eastAsia="仿宋" w:cs="仿宋"/>
                <w:color w:val="auto"/>
                <w:sz w:val="21"/>
                <w:szCs w:val="21"/>
                <w:highlight w:val="none"/>
                <w:vertAlign w:val="baseline"/>
              </w:rPr>
              <w:t>将从规划层面提升环境相容性，将空间管制融入园区规划实施全过程，充分规划好城区与园区的关系，做好空间功能布局规划。</w:t>
            </w:r>
          </w:p>
          <w:p>
            <w:pPr>
              <w:keepNext w:val="0"/>
              <w:keepLines w:val="0"/>
              <w:widowControl/>
              <w:suppressLineNumbers w:val="0"/>
              <w:spacing w:before="0" w:beforeAutospacing="0" w:after="0" w:afterAutospacing="0"/>
              <w:ind w:left="0" w:right="0" w:firstLine="420" w:firstLineChars="20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2、园区引进产业严格执行调扩区环境影响报告书提出的产业准入要求。</w:t>
            </w:r>
          </w:p>
          <w:p>
            <w:pPr>
              <w:keepNext w:val="0"/>
              <w:keepLines w:val="0"/>
              <w:widowControl/>
              <w:suppressLineNumbers w:val="0"/>
              <w:spacing w:before="0" w:beforeAutospacing="0" w:after="0" w:afterAutospacing="0"/>
              <w:ind w:left="0" w:right="0" w:firstLine="420" w:firstLineChars="20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3、主园区与城市建成区较近，严格要求企业按照环保要求开展生产，后续引进企业将主要往东区和西区布局。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2</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落实管控措施，加强园区污染治理。园区应切实抓好污水处理设施及配套管网的建设和运维，做好雨污分流，确保园区各片区生产生活废水应收尽收，酒鬼酒生态工业园(区块一)废水排入吉首污水处理厂；主园区(区块二)废水现状排入乾州污水处理厂，本轮规划主园区学院路以北、武陵山大道以西区域的污水维持现状排入乾州污水处理厂，其他区域废水规划排入吉首经开区污水处理厂，园区后续应落实国、省关于水污染防治、排水方案优化、环保基础设施及污水管网建设运营管理等方面的政策要求。园区应加强大气污染防治，采取有效措施减少污染物排放总量，严格控制无组织排放，开展重点行业、重点企业VOCs治理。做好工业固体废物和生活垃圾的分类收集、转运、综合利用和无害化处理，建立完善的固废管理体系。对危险废物应严格按照国家有关规定综合利用或妥善处置，对危险废物产生企业和经营单位，应强化日常环境监管。园区须严格落实排污许可制度，推动入园企业按照规定要求开展清洁生产审核，减少污染物的排放量。园区应落实第三方环境治理工作相关政策要求，强化对园区重点产排污企业的监管与服务。</w:t>
            </w:r>
          </w:p>
        </w:tc>
        <w:tc>
          <w:tcPr>
            <w:tcW w:w="3944" w:type="dxa"/>
            <w:vAlign w:val="center"/>
          </w:tcPr>
          <w:p>
            <w:pPr>
              <w:keepNext w:val="0"/>
              <w:keepLines w:val="0"/>
              <w:widowControl/>
              <w:numPr>
                <w:ilvl w:val="0"/>
                <w:numId w:val="1"/>
              </w:numPr>
              <w:suppressLineNumbers w:val="0"/>
              <w:spacing w:before="0" w:beforeAutospacing="0" w:after="0" w:afterAutospacing="0"/>
              <w:ind w:left="0" w:right="0" w:firstLine="420" w:firstLineChars="20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园区配套的污水处理厂正在推动建设，严格实行雨污分流，园区工业、生活废水实现管网全覆盖全收集，近、中期主园区区内污水废水排入乾州污水处理厂处理，远期主园区污水经规划建设的配套污水处理厂处理达标后排入万溶江。酒鬼酒生态工业园废水已排入吉首污水处理处理。</w:t>
            </w:r>
          </w:p>
          <w:p>
            <w:pPr>
              <w:keepNext w:val="0"/>
              <w:keepLines w:val="0"/>
              <w:widowControl/>
              <w:numPr>
                <w:ilvl w:val="0"/>
                <w:numId w:val="1"/>
              </w:numPr>
              <w:suppressLineNumbers w:val="0"/>
              <w:spacing w:before="0" w:beforeAutospacing="0" w:after="0" w:afterAutospacing="0"/>
              <w:ind w:left="0" w:leftChars="0" w:right="0" w:rightChars="0" w:firstLine="420" w:firstLineChars="20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大力落实大气污染控制措施，对产生大气污染物的企业加强管控，督促升级生产工艺，严格按照污染防治要求，确保达标排放。园区涉VOCs重点企业均建设了收集和处理设施。</w:t>
            </w:r>
          </w:p>
          <w:p>
            <w:pPr>
              <w:keepNext w:val="0"/>
              <w:keepLines w:val="0"/>
              <w:widowControl/>
              <w:numPr>
                <w:ilvl w:val="0"/>
                <w:numId w:val="0"/>
              </w:numPr>
              <w:suppressLineNumbers w:val="0"/>
              <w:spacing w:before="0" w:beforeAutospacing="0" w:after="0" w:afterAutospacing="0"/>
              <w:ind w:left="0" w:right="0" w:rightChars="0" w:firstLine="420" w:firstLineChars="20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3、园区建立了完善的固废管理体系，对园区固废企业从严监管，均纳入了固废管理平台，一年来，园区没有发生大气污染或危废处置问题的环境事件。</w:t>
            </w:r>
          </w:p>
          <w:p>
            <w:pPr>
              <w:keepNext w:val="0"/>
              <w:keepLines w:val="0"/>
              <w:widowControl/>
              <w:suppressLineNumbers w:val="0"/>
              <w:spacing w:before="0" w:beforeAutospacing="0" w:after="0" w:afterAutospacing="0"/>
              <w:ind w:left="0" w:right="0" w:firstLine="420" w:firstLineChars="20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4、园区严格落实排污许可制度，强制性清洁生产审核企业按照规定要求开展了清洁生产审核。</w:t>
            </w:r>
          </w:p>
          <w:p>
            <w:pPr>
              <w:keepNext w:val="0"/>
              <w:keepLines w:val="0"/>
              <w:widowControl/>
              <w:suppressLineNumbers w:val="0"/>
              <w:spacing w:before="0" w:beforeAutospacing="0" w:after="0" w:afterAutospacing="0"/>
              <w:ind w:left="0" w:right="0" w:firstLine="420" w:firstLineChars="20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5、园区落实第三方环境治理工作相关政策要求，聘请第三方环保机构加强了对园区企业的监管。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3</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完善监测体系，监控环境质量变化状况。结合园区规划的功能分区、产业布局、重点企业分布、特征污染物的排放种类和状况、环境敏感目标分布等，建立健全各环境要素的监控体系。园区应加强对涉重金属排放企业、涉VOCs排放企业的监督性监测，并覆盖相关特征排放因子，严防企业废水废气偷排漏排或污染治理措施不正常运行。督促土壤污染重点监管单位按规定进行土壤污染状况监测及地下水监测。</w:t>
            </w:r>
          </w:p>
        </w:tc>
        <w:tc>
          <w:tcPr>
            <w:tcW w:w="3944" w:type="dxa"/>
            <w:vAlign w:val="center"/>
          </w:tcPr>
          <w:p>
            <w:pPr>
              <w:keepNext w:val="0"/>
              <w:keepLines w:val="0"/>
              <w:widowControl/>
              <w:suppressLineNumbers w:val="0"/>
              <w:spacing w:before="0" w:beforeAutospacing="0" w:after="0" w:afterAutospacing="0"/>
              <w:ind w:left="0" w:right="0" w:firstLine="420" w:firstLineChars="20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园区</w:t>
            </w:r>
            <w:r>
              <w:rPr>
                <w:rFonts w:hint="eastAsia" w:ascii="仿宋" w:hAnsi="仿宋" w:eastAsia="仿宋" w:cs="仿宋"/>
                <w:color w:val="auto"/>
                <w:sz w:val="21"/>
                <w:szCs w:val="21"/>
                <w:highlight w:val="none"/>
                <w:vertAlign w:val="baseline"/>
                <w:lang w:val="en-US" w:eastAsia="zh-CN"/>
              </w:rPr>
              <w:t>2025年已</w:t>
            </w:r>
            <w:r>
              <w:rPr>
                <w:rFonts w:hint="eastAsia" w:ascii="仿宋" w:hAnsi="仿宋" w:eastAsia="仿宋" w:cs="仿宋"/>
                <w:color w:val="auto"/>
                <w:sz w:val="21"/>
                <w:szCs w:val="21"/>
                <w:highlight w:val="none"/>
                <w:vertAlign w:val="baseline"/>
              </w:rPr>
              <w:t>严格按照监测要求开展年度检测任务，同时建设了部分自动监测站关注园区环境质量变化。园区暂不涉及土壤污染重点监管单位。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4</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强化风险管控，严防园区环境事故。建立健全园区环境风险管理工作长效机制，加强园区环境风险防控、预警和应急体系建设，全面提升园区环境风险防控和环境事故应急处置能力，确保区域环境安全。完善涉重金属废水排放企业事故应急池等风险防范措施建设，强化源头风险防控措施。加强对园区污水管网的日常监管、巡管，杜绝污水管网的泄漏。重点做好涉重、涉危险化学品企业的环境风险防控。</w:t>
            </w:r>
          </w:p>
        </w:tc>
        <w:tc>
          <w:tcPr>
            <w:tcW w:w="3944" w:type="dxa"/>
            <w:vAlign w:val="center"/>
          </w:tcPr>
          <w:p>
            <w:pPr>
              <w:keepNext w:val="0"/>
              <w:keepLines w:val="0"/>
              <w:widowControl/>
              <w:suppressLineNumbers w:val="0"/>
              <w:spacing w:before="0" w:beforeAutospacing="0" w:after="0" w:afterAutospacing="0"/>
              <w:ind w:left="0" w:right="0" w:firstLine="420" w:firstLineChars="20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建立了较为完备的环境风险防控体系，园区自身和存在风险的相关重点企业均制定了环境风险应急预案，储备了应急救援物资，更新了园区风险应急物资台账，加强环境风险事故防范和应急，确保区域环境安全。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5</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做好周边控规，落实用地性质已规划为居住用地的现有企业的搬迁计划。园区管委会与地方政府应共同做好控规，杜绝在园区规划的工业用地上新增环境敏感目标。对于具体项目环评设置防护距离和提出搬迁要求的，要确保予以落实，未落实的，园区应确保相关新建项目不得投产。</w:t>
            </w:r>
          </w:p>
        </w:tc>
        <w:tc>
          <w:tcPr>
            <w:tcW w:w="3944" w:type="dxa"/>
            <w:vAlign w:val="center"/>
          </w:tcPr>
          <w:p>
            <w:pPr>
              <w:keepNext w:val="0"/>
              <w:keepLines w:val="0"/>
              <w:widowControl/>
              <w:suppressLineNumbers w:val="0"/>
              <w:spacing w:before="0" w:beforeAutospacing="0" w:after="0" w:afterAutospacing="0"/>
              <w:ind w:left="0" w:right="0" w:firstLine="420" w:firstLineChars="20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园区后续将严格做好控规划，杜绝在园区规划的工业用地上新增环境敏感目标。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b/>
                <w:i w:val="0"/>
                <w:color w:val="auto"/>
                <w:kern w:val="0"/>
                <w:sz w:val="21"/>
                <w:szCs w:val="21"/>
                <w:highlight w:val="none"/>
                <w:u w:val="none"/>
                <w:lang w:val="en-US" w:eastAsia="zh-CN" w:bidi="ar"/>
              </w:rPr>
              <w:t>6</w:t>
            </w:r>
          </w:p>
        </w:tc>
        <w:tc>
          <w:tcPr>
            <w:tcW w:w="3766" w:type="dxa"/>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1"/>
                <w:szCs w:val="21"/>
                <w:highlight w:val="none"/>
                <w:vertAlign w:val="baseline"/>
              </w:rPr>
            </w:pPr>
            <w:r>
              <w:rPr>
                <w:rFonts w:hint="eastAsia" w:ascii="仿宋" w:hAnsi="仿宋" w:eastAsia="仿宋" w:cs="仿宋"/>
                <w:color w:val="auto"/>
                <w:sz w:val="21"/>
                <w:szCs w:val="21"/>
                <w:highlight w:val="none"/>
                <w:vertAlign w:val="baseline"/>
              </w:rPr>
              <w:t>做好园区建设期生态保护和水土保持。尽可能保留自然山体，施工期对土石方开挖、堆存及回填要实施围挡、护坡等措施，裸露地及时恢复植被，防止水土流失，杜绝施工建设对地表水体的污染。</w:t>
            </w:r>
          </w:p>
        </w:tc>
        <w:tc>
          <w:tcPr>
            <w:tcW w:w="3944" w:type="dxa"/>
            <w:vAlign w:val="center"/>
          </w:tcPr>
          <w:p>
            <w:pPr>
              <w:keepNext w:val="0"/>
              <w:keepLines w:val="0"/>
              <w:widowControl/>
              <w:suppressLineNumbers w:val="0"/>
              <w:spacing w:before="0" w:beforeAutospacing="0" w:after="0" w:afterAutospacing="0"/>
              <w:ind w:left="0" w:right="0" w:firstLine="420" w:firstLineChars="200"/>
              <w:jc w:val="left"/>
              <w:textAlignment w:val="center"/>
              <w:rPr>
                <w:rFonts w:hint="eastAsia" w:ascii="仿宋" w:hAnsi="仿宋" w:eastAsia="仿宋" w:cs="仿宋"/>
                <w:color w:val="auto"/>
                <w:sz w:val="21"/>
                <w:szCs w:val="21"/>
                <w:highlight w:val="none"/>
                <w:vertAlign w:val="baseline"/>
                <w:lang w:val="en-US" w:eastAsia="zh-CN"/>
              </w:rPr>
            </w:pPr>
            <w:r>
              <w:rPr>
                <w:rFonts w:hint="eastAsia" w:ascii="仿宋" w:hAnsi="仿宋" w:eastAsia="仿宋" w:cs="仿宋"/>
                <w:color w:val="auto"/>
                <w:sz w:val="21"/>
                <w:szCs w:val="21"/>
                <w:highlight w:val="none"/>
                <w:vertAlign w:val="baseline"/>
              </w:rPr>
              <w:t>园区建设过程要求建设单位做好园区建设期生态保护和水土保持。防止建设过程的水土流失和水环境污染</w:t>
            </w:r>
            <w:r>
              <w:rPr>
                <w:rFonts w:hint="eastAsia" w:ascii="仿宋" w:hAnsi="仿宋" w:eastAsia="仿宋" w:cs="仿宋"/>
                <w:color w:val="auto"/>
                <w:sz w:val="21"/>
                <w:szCs w:val="21"/>
                <w:highlight w:val="none"/>
                <w:vertAlign w:val="baseline"/>
                <w:lang w:eastAsia="zh-CN"/>
              </w:rPr>
              <w:t>。</w:t>
            </w:r>
          </w:p>
        </w:tc>
      </w:tr>
    </w:tbl>
    <w:p>
      <w:pPr>
        <w:pStyle w:val="14"/>
        <w:keepNext w:val="0"/>
        <w:keepLines w:val="0"/>
        <w:pageBreakBefore w:val="0"/>
        <w:kinsoku/>
        <w:wordWrap/>
        <w:overflowPunct/>
        <w:topLinePunct w:val="0"/>
        <w:autoSpaceDE/>
        <w:autoSpaceDN/>
        <w:bidi w:val="0"/>
        <w:snapToGrid w:val="0"/>
        <w:spacing w:after="0" w:line="560" w:lineRule="exact"/>
        <w:ind w:left="0" w:leftChars="0" w:firstLine="643"/>
        <w:textAlignment w:val="auto"/>
        <w:outlineLvl w:val="9"/>
        <w:rPr>
          <w:rFonts w:hint="default" w:ascii="Times New Roman" w:hAnsi="Times New Roman" w:eastAsia="仿宋" w:cs="Times New Roman"/>
          <w:b/>
          <w:bCs/>
          <w:color w:val="auto"/>
          <w:sz w:val="32"/>
          <w:szCs w:val="32"/>
          <w:highlight w:val="none"/>
          <w:u w:val="none" w:color="auto"/>
        </w:rPr>
      </w:pPr>
      <w:r>
        <w:rPr>
          <w:rFonts w:hint="default" w:ascii="Times New Roman" w:hAnsi="Times New Roman" w:eastAsia="仿宋" w:cs="Times New Roman"/>
          <w:b/>
          <w:bCs/>
          <w:color w:val="auto"/>
          <w:sz w:val="32"/>
          <w:szCs w:val="32"/>
          <w:highlight w:val="none"/>
          <w:u w:val="none" w:color="auto"/>
        </w:rPr>
        <w:t>（二）“三线一单”落地应用情况</w:t>
      </w:r>
    </w:p>
    <w:p>
      <w:pPr>
        <w:pStyle w:val="14"/>
        <w:keepNext w:val="0"/>
        <w:keepLines w:val="0"/>
        <w:pageBreakBefore w:val="0"/>
        <w:kinsoku/>
        <w:wordWrap/>
        <w:overflowPunct/>
        <w:topLinePunct w:val="0"/>
        <w:autoSpaceDE/>
        <w:autoSpaceDN/>
        <w:bidi w:val="0"/>
        <w:snapToGrid w:val="0"/>
        <w:spacing w:after="0" w:line="560" w:lineRule="exact"/>
        <w:ind w:left="0" w:leftChars="0" w:firstLine="643"/>
        <w:jc w:val="both"/>
        <w:textAlignment w:val="auto"/>
        <w:outlineLvl w:val="9"/>
        <w:rPr>
          <w:rFonts w:hint="default" w:ascii="Times New Roman" w:hAnsi="Times New Roman" w:eastAsia="仿宋" w:cs="Times New Roman"/>
          <w:b/>
          <w:color w:val="auto"/>
          <w:sz w:val="28"/>
          <w:highlight w:val="none"/>
        </w:rPr>
      </w:pPr>
      <w:r>
        <w:rPr>
          <w:rFonts w:hint="default" w:ascii="Times New Roman" w:hAnsi="Times New Roman" w:eastAsia="仿宋" w:cs="Times New Roman"/>
          <w:color w:val="auto"/>
          <w:sz w:val="32"/>
          <w:szCs w:val="32"/>
          <w:highlight w:val="none"/>
          <w:u w:val="none" w:color="auto"/>
          <w:lang w:val="en-US" w:eastAsia="zh-CN"/>
        </w:rPr>
        <w:t>湘西高新区</w:t>
      </w:r>
      <w:r>
        <w:rPr>
          <w:rFonts w:hint="default" w:ascii="Times New Roman" w:hAnsi="Times New Roman" w:eastAsia="仿宋" w:cs="Times New Roman"/>
          <w:color w:val="auto"/>
          <w:sz w:val="32"/>
          <w:szCs w:val="32"/>
          <w:highlight w:val="none"/>
          <w:u w:val="none" w:color="auto"/>
        </w:rPr>
        <w:t>执行《湖南省人民政府关于实施“三线一单”生态环境分区管控的意见》《湖南省“三线一单”生态环境总体管控要求</w:t>
      </w:r>
      <w:r>
        <w:rPr>
          <w:rFonts w:hint="default" w:ascii="Times New Roman" w:hAnsi="Times New Roman" w:eastAsia="仿宋" w:cs="Times New Roman"/>
          <w:color w:val="auto"/>
          <w:sz w:val="32"/>
          <w:szCs w:val="32"/>
          <w:highlight w:val="none"/>
          <w:u w:val="none" w:color="auto"/>
          <w:shd w:val="clear" w:color="auto" w:fill="auto"/>
          <w:lang w:eastAsia="zh-CN"/>
        </w:rPr>
        <w:t>暨</w:t>
      </w:r>
      <w:r>
        <w:rPr>
          <w:rFonts w:hint="default" w:ascii="Times New Roman" w:hAnsi="Times New Roman" w:eastAsia="仿宋" w:cs="Times New Roman"/>
          <w:color w:val="auto"/>
          <w:sz w:val="32"/>
          <w:szCs w:val="32"/>
          <w:highlight w:val="none"/>
          <w:u w:val="none" w:color="auto"/>
        </w:rPr>
        <w:t>省级以上产业园区生态环境准入清单》等要求</w:t>
      </w:r>
      <w:r>
        <w:rPr>
          <w:rFonts w:hint="default" w:ascii="Times New Roman" w:hAnsi="Times New Roman" w:eastAsia="仿宋" w:cs="Times New Roman"/>
          <w:color w:val="auto"/>
          <w:sz w:val="32"/>
          <w:szCs w:val="32"/>
          <w:highlight w:val="none"/>
          <w:u w:val="none" w:color="auto"/>
          <w:lang w:eastAsia="zh-CN"/>
        </w:rPr>
        <w:t>，制定了《湘西高新技术产业开发区生态环境准入清单》，</w:t>
      </w:r>
      <w:r>
        <w:rPr>
          <w:rFonts w:hint="default" w:ascii="Times New Roman" w:hAnsi="Times New Roman" w:eastAsia="仿宋" w:cs="Times New Roman"/>
          <w:color w:val="auto"/>
          <w:sz w:val="32"/>
          <w:szCs w:val="32"/>
          <w:highlight w:val="none"/>
          <w:u w:val="none" w:color="auto"/>
          <w:lang w:val="en-US" w:eastAsia="zh-CN"/>
        </w:rPr>
        <w:t>2023年度对园区生态环境准入清单进行了修订并于2024年正式发布，</w:t>
      </w:r>
      <w:r>
        <w:rPr>
          <w:rFonts w:hint="default" w:ascii="Times New Roman" w:hAnsi="Times New Roman" w:eastAsia="仿宋" w:cs="Times New Roman"/>
          <w:color w:val="auto"/>
          <w:sz w:val="32"/>
          <w:szCs w:val="32"/>
          <w:highlight w:val="none"/>
          <w:u w:val="none" w:color="auto"/>
          <w:lang w:eastAsia="zh-CN"/>
        </w:rPr>
        <w:t>见下表：</w:t>
      </w:r>
    </w:p>
    <w:p>
      <w:pPr>
        <w:pStyle w:val="14"/>
        <w:keepNext w:val="0"/>
        <w:keepLines w:val="0"/>
        <w:pageBreakBefore w:val="0"/>
        <w:kinsoku/>
        <w:wordWrap/>
        <w:overflowPunct/>
        <w:topLinePunct w:val="0"/>
        <w:autoSpaceDE/>
        <w:autoSpaceDN/>
        <w:bidi w:val="0"/>
        <w:snapToGrid w:val="0"/>
        <w:spacing w:after="0" w:line="560" w:lineRule="exact"/>
        <w:ind w:left="0" w:leftChars="0" w:firstLine="643"/>
        <w:jc w:val="both"/>
        <w:textAlignment w:val="auto"/>
        <w:outlineLvl w:val="9"/>
        <w:rPr>
          <w:rFonts w:eastAsia="仿宋_GB2312"/>
          <w:b/>
          <w:color w:val="0000FF"/>
          <w:sz w:val="28"/>
          <w:highlight w:val="none"/>
        </w:rPr>
        <w:sectPr>
          <w:footerReference r:id="rId5" w:type="default"/>
          <w:pgSz w:w="11906" w:h="16838"/>
          <w:pgMar w:top="1440" w:right="1800" w:bottom="1440" w:left="1800" w:header="851" w:footer="992" w:gutter="0"/>
          <w:pgNumType w:fmt="numberInDash" w:start="1"/>
          <w:cols w:space="720" w:num="1"/>
          <w:docGrid w:type="lines" w:linePitch="312" w:charSpace="0"/>
        </w:sectPr>
      </w:pPr>
    </w:p>
    <w:p>
      <w:pPr>
        <w:pStyle w:val="14"/>
        <w:keepNext w:val="0"/>
        <w:keepLines w:val="0"/>
        <w:pageBreakBefore w:val="0"/>
        <w:kinsoku/>
        <w:wordWrap/>
        <w:overflowPunct/>
        <w:topLinePunct w:val="0"/>
        <w:autoSpaceDE/>
        <w:autoSpaceDN/>
        <w:bidi w:val="0"/>
        <w:snapToGrid w:val="0"/>
        <w:spacing w:after="0" w:line="560" w:lineRule="exact"/>
        <w:ind w:left="0" w:leftChars="0" w:firstLine="0" w:firstLineChars="0"/>
        <w:jc w:val="center"/>
        <w:textAlignment w:val="auto"/>
        <w:outlineLvl w:val="9"/>
        <w:rPr>
          <w:rFonts w:hint="default" w:eastAsia="仿宋_GB2312"/>
          <w:b/>
          <w:color w:val="auto"/>
          <w:sz w:val="28"/>
          <w:highlight w:val="none"/>
          <w:lang w:val="en-US" w:eastAsia="zh-CN"/>
        </w:rPr>
      </w:pPr>
      <w:r>
        <w:rPr>
          <w:rFonts w:eastAsia="仿宋_GB2312"/>
          <w:b/>
          <w:color w:val="auto"/>
          <w:sz w:val="28"/>
          <w:highlight w:val="none"/>
        </w:rPr>
        <w:t>湘西高新技术产业开发区</w:t>
      </w:r>
      <w:r>
        <w:rPr>
          <w:rFonts w:hint="eastAsia" w:eastAsia="仿宋_GB2312"/>
          <w:b/>
          <w:color w:val="auto"/>
          <w:sz w:val="28"/>
          <w:highlight w:val="none"/>
          <w:lang w:eastAsia="zh-CN"/>
        </w:rPr>
        <w:t>“三线一单”生态环境管控要求</w:t>
      </w:r>
      <w:r>
        <w:rPr>
          <w:rFonts w:hint="eastAsia" w:eastAsia="仿宋_GB2312"/>
          <w:b/>
          <w:color w:val="auto"/>
          <w:sz w:val="28"/>
          <w:highlight w:val="none"/>
          <w:lang w:val="en-US" w:eastAsia="zh-CN"/>
        </w:rPr>
        <w:t>及落实情况表</w:t>
      </w:r>
    </w:p>
    <w:tbl>
      <w:tblPr>
        <w:tblStyle w:val="15"/>
        <w:tblW w:w="14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804"/>
        <w:gridCol w:w="480"/>
        <w:gridCol w:w="428"/>
        <w:gridCol w:w="497"/>
        <w:gridCol w:w="857"/>
        <w:gridCol w:w="1032"/>
        <w:gridCol w:w="4000"/>
        <w:gridCol w:w="2053"/>
        <w:gridCol w:w="1914"/>
        <w:gridCol w:w="1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dxa"/>
            <w:vMerge w:val="restart"/>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环境管控单元编码</w:t>
            </w:r>
          </w:p>
        </w:tc>
        <w:tc>
          <w:tcPr>
            <w:tcW w:w="804" w:type="dxa"/>
            <w:vMerge w:val="restart"/>
            <w:vAlign w:val="center"/>
          </w:tcPr>
          <w:p>
            <w:pPr>
              <w:keepNext w:val="0"/>
              <w:keepLines w:val="0"/>
              <w:widowControl/>
              <w:suppressLineNumbers w:val="0"/>
              <w:spacing w:before="0" w:beforeAutospacing="0" w:after="0" w:afterAutospacing="0"/>
              <w:ind w:left="-14" w:leftChars="-29" w:right="-115" w:rightChars="-41" w:hanging="67" w:hangingChars="28"/>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单元名称</w:t>
            </w:r>
          </w:p>
        </w:tc>
        <w:tc>
          <w:tcPr>
            <w:tcW w:w="1405" w:type="dxa"/>
            <w:gridSpan w:val="3"/>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行政区划</w:t>
            </w:r>
          </w:p>
        </w:tc>
        <w:tc>
          <w:tcPr>
            <w:tcW w:w="857" w:type="dxa"/>
            <w:vMerge w:val="restart"/>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单元</w:t>
            </w:r>
          </w:p>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分类</w:t>
            </w:r>
          </w:p>
        </w:tc>
        <w:tc>
          <w:tcPr>
            <w:tcW w:w="1032" w:type="dxa"/>
            <w:vMerge w:val="restart"/>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单元面积</w:t>
            </w:r>
            <w:r>
              <w:rPr>
                <w:rFonts w:hint="eastAsia" w:ascii="仿宋" w:hAnsi="仿宋" w:eastAsia="仿宋" w:cs="仿宋"/>
                <w:b/>
                <w:color w:val="auto"/>
                <w:kern w:val="0"/>
                <w:sz w:val="24"/>
                <w:szCs w:val="24"/>
                <w:highlight w:val="none"/>
                <w:lang w:eastAsia="zh-CN"/>
              </w:rPr>
              <w:t>（</w:t>
            </w:r>
            <w:r>
              <w:rPr>
                <w:rFonts w:hint="eastAsia" w:ascii="仿宋" w:hAnsi="仿宋" w:eastAsia="仿宋" w:cs="仿宋"/>
                <w:b/>
                <w:color w:val="auto"/>
                <w:kern w:val="0"/>
                <w:sz w:val="24"/>
                <w:szCs w:val="24"/>
                <w:highlight w:val="none"/>
              </w:rPr>
              <w:t>km</w:t>
            </w:r>
            <w:r>
              <w:rPr>
                <w:rFonts w:hint="eastAsia" w:ascii="仿宋" w:hAnsi="仿宋" w:eastAsia="仿宋" w:cs="仿宋"/>
                <w:b/>
                <w:color w:val="auto"/>
                <w:kern w:val="0"/>
                <w:sz w:val="24"/>
                <w:szCs w:val="24"/>
                <w:highlight w:val="none"/>
                <w:vertAlign w:val="superscript"/>
              </w:rPr>
              <w:t>2</w:t>
            </w:r>
            <w:r>
              <w:rPr>
                <w:rFonts w:hint="eastAsia" w:ascii="仿宋" w:hAnsi="仿宋" w:eastAsia="仿宋" w:cs="仿宋"/>
                <w:b/>
                <w:color w:val="auto"/>
                <w:kern w:val="0"/>
                <w:sz w:val="24"/>
                <w:szCs w:val="24"/>
                <w:highlight w:val="none"/>
                <w:vertAlign w:val="superscript"/>
                <w:lang w:eastAsia="zh-CN"/>
              </w:rPr>
              <w:t>）</w:t>
            </w:r>
          </w:p>
        </w:tc>
        <w:tc>
          <w:tcPr>
            <w:tcW w:w="4000" w:type="dxa"/>
            <w:vMerge w:val="restart"/>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涉及乡</w:t>
            </w:r>
          </w:p>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镇</w:t>
            </w:r>
            <w:r>
              <w:rPr>
                <w:rFonts w:hint="eastAsia" w:ascii="仿宋" w:hAnsi="仿宋" w:eastAsia="仿宋" w:cs="仿宋"/>
                <w:b/>
                <w:color w:val="auto"/>
                <w:kern w:val="0"/>
                <w:sz w:val="24"/>
                <w:szCs w:val="24"/>
                <w:highlight w:val="none"/>
                <w:lang w:eastAsia="zh-CN"/>
              </w:rPr>
              <w:t>（</w:t>
            </w:r>
            <w:r>
              <w:rPr>
                <w:rFonts w:hint="eastAsia" w:ascii="仿宋" w:hAnsi="仿宋" w:eastAsia="仿宋" w:cs="仿宋"/>
                <w:b/>
                <w:color w:val="auto"/>
                <w:kern w:val="0"/>
                <w:sz w:val="24"/>
                <w:szCs w:val="24"/>
                <w:highlight w:val="none"/>
              </w:rPr>
              <w:t>街道</w:t>
            </w:r>
            <w:r>
              <w:rPr>
                <w:rFonts w:hint="eastAsia" w:ascii="仿宋" w:hAnsi="仿宋" w:eastAsia="仿宋" w:cs="仿宋"/>
                <w:b/>
                <w:color w:val="auto"/>
                <w:kern w:val="0"/>
                <w:sz w:val="24"/>
                <w:szCs w:val="24"/>
                <w:highlight w:val="none"/>
                <w:lang w:eastAsia="zh-CN"/>
              </w:rPr>
              <w:t>）</w:t>
            </w:r>
          </w:p>
        </w:tc>
        <w:tc>
          <w:tcPr>
            <w:tcW w:w="2053" w:type="dxa"/>
            <w:vMerge w:val="restart"/>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区域主体功能定位</w:t>
            </w:r>
          </w:p>
        </w:tc>
        <w:tc>
          <w:tcPr>
            <w:tcW w:w="1914" w:type="dxa"/>
            <w:vMerge w:val="restart"/>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主导产业</w:t>
            </w:r>
            <w:r>
              <w:rPr>
                <w:rFonts w:hint="eastAsia" w:ascii="仿宋" w:hAnsi="仿宋" w:eastAsia="仿宋" w:cs="仿宋"/>
                <w:b/>
                <w:color w:val="auto"/>
                <w:kern w:val="0"/>
                <w:sz w:val="24"/>
                <w:szCs w:val="24"/>
                <w:highlight w:val="none"/>
                <w:vertAlign w:val="superscript"/>
              </w:rPr>
              <w:t>②</w:t>
            </w:r>
          </w:p>
        </w:tc>
        <w:tc>
          <w:tcPr>
            <w:tcW w:w="1536" w:type="dxa"/>
            <w:vMerge w:val="restart"/>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主要环境问题和重要敏感目标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blHeader/>
          <w:jc w:val="center"/>
        </w:trPr>
        <w:tc>
          <w:tcPr>
            <w:tcW w:w="1076" w:type="dxa"/>
            <w:vMerge w:val="continue"/>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p>
        </w:tc>
        <w:tc>
          <w:tcPr>
            <w:tcW w:w="804" w:type="dxa"/>
            <w:vMerge w:val="continue"/>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p>
        </w:tc>
        <w:tc>
          <w:tcPr>
            <w:tcW w:w="480" w:type="dxa"/>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省</w:t>
            </w:r>
          </w:p>
        </w:tc>
        <w:tc>
          <w:tcPr>
            <w:tcW w:w="428" w:type="dxa"/>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市</w:t>
            </w:r>
          </w:p>
        </w:tc>
        <w:tc>
          <w:tcPr>
            <w:tcW w:w="497" w:type="dxa"/>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县</w:t>
            </w:r>
          </w:p>
        </w:tc>
        <w:tc>
          <w:tcPr>
            <w:tcW w:w="857" w:type="dxa"/>
            <w:vMerge w:val="continue"/>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p>
        </w:tc>
        <w:tc>
          <w:tcPr>
            <w:tcW w:w="1032" w:type="dxa"/>
            <w:vMerge w:val="continue"/>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p>
        </w:tc>
        <w:tc>
          <w:tcPr>
            <w:tcW w:w="4000" w:type="dxa"/>
            <w:vMerge w:val="continue"/>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p>
        </w:tc>
        <w:tc>
          <w:tcPr>
            <w:tcW w:w="2053" w:type="dxa"/>
            <w:vMerge w:val="continue"/>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p>
        </w:tc>
        <w:tc>
          <w:tcPr>
            <w:tcW w:w="1914" w:type="dxa"/>
            <w:vMerge w:val="continue"/>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p>
        </w:tc>
        <w:tc>
          <w:tcPr>
            <w:tcW w:w="1536" w:type="dxa"/>
            <w:vMerge w:val="continue"/>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6" w:type="dxa"/>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ZH43310120006</w:t>
            </w:r>
          </w:p>
        </w:tc>
        <w:tc>
          <w:tcPr>
            <w:tcW w:w="804" w:type="dxa"/>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湖南湘西</w:t>
            </w:r>
            <w:r>
              <w:rPr>
                <w:rFonts w:hint="eastAsia" w:ascii="仿宋" w:hAnsi="仿宋" w:eastAsia="仿宋" w:cs="仿宋"/>
                <w:bCs/>
                <w:color w:val="auto"/>
                <w:sz w:val="24"/>
                <w:szCs w:val="24"/>
                <w:highlight w:val="none"/>
                <w:lang w:val="zh-CN"/>
              </w:rPr>
              <w:t>高新技术产业开发区</w:t>
            </w:r>
          </w:p>
        </w:tc>
        <w:tc>
          <w:tcPr>
            <w:tcW w:w="480" w:type="dxa"/>
            <w:vAlign w:val="center"/>
          </w:tcPr>
          <w:p>
            <w:pPr>
              <w:keepNext w:val="0"/>
              <w:keepLines w:val="0"/>
              <w:suppressLineNumbers w:val="0"/>
              <w:topLinePunct/>
              <w:spacing w:before="0" w:beforeAutospacing="0" w:after="0" w:afterAutospacing="0" w:line="360" w:lineRule="auto"/>
              <w:ind w:left="0" w:right="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湖南省</w:t>
            </w:r>
          </w:p>
        </w:tc>
        <w:tc>
          <w:tcPr>
            <w:tcW w:w="428" w:type="dxa"/>
            <w:vAlign w:val="center"/>
          </w:tcPr>
          <w:p>
            <w:pPr>
              <w:keepNext w:val="0"/>
              <w:keepLines w:val="0"/>
              <w:suppressLineNumbers w:val="0"/>
              <w:topLinePunct/>
              <w:spacing w:before="0" w:beforeAutospacing="0" w:after="0" w:afterAutospacing="0" w:line="360" w:lineRule="auto"/>
              <w:ind w:left="0" w:right="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湘西州</w:t>
            </w:r>
          </w:p>
        </w:tc>
        <w:tc>
          <w:tcPr>
            <w:tcW w:w="497" w:type="dxa"/>
            <w:vAlign w:val="center"/>
          </w:tcPr>
          <w:p>
            <w:pPr>
              <w:keepNext w:val="0"/>
              <w:keepLines w:val="0"/>
              <w:widowControl/>
              <w:suppressLineNumbers w:val="0"/>
              <w:topLinePunct/>
              <w:spacing w:before="0" w:beforeAutospacing="0" w:after="0" w:afterAutospacing="0" w:line="360" w:lineRule="auto"/>
              <w:ind w:left="0" w:right="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吉首市、凤凰县</w:t>
            </w:r>
          </w:p>
        </w:tc>
        <w:tc>
          <w:tcPr>
            <w:tcW w:w="857" w:type="dxa"/>
            <w:vAlign w:val="center"/>
          </w:tcPr>
          <w:p>
            <w:pPr>
              <w:keepNext w:val="0"/>
              <w:keepLines w:val="0"/>
              <w:suppressLineNumbers w:val="0"/>
              <w:topLinePunct/>
              <w:spacing w:before="0" w:beforeAutospacing="0" w:after="0" w:afterAutospacing="0" w:line="360" w:lineRule="auto"/>
              <w:ind w:left="0" w:right="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重点管控单元</w:t>
            </w:r>
          </w:p>
        </w:tc>
        <w:tc>
          <w:tcPr>
            <w:tcW w:w="1032" w:type="dxa"/>
            <w:vAlign w:val="center"/>
          </w:tcPr>
          <w:p>
            <w:pPr>
              <w:keepNext w:val="0"/>
              <w:keepLines w:val="0"/>
              <w:widowControl/>
              <w:numPr>
                <w:ilvl w:val="0"/>
                <w:numId w:val="0"/>
              </w:numPr>
              <w:suppressLineNumbers w:val="0"/>
              <w:spacing w:before="0" w:beforeAutospacing="0" w:after="0" w:afterAutospacing="0" w:line="360" w:lineRule="auto"/>
              <w:ind w:left="0" w:right="0"/>
              <w:rPr>
                <w:rFonts w:hint="eastAsia" w:ascii="仿宋" w:hAnsi="仿宋" w:eastAsia="仿宋" w:cs="仿宋"/>
                <w:bCs/>
                <w:color w:val="auto"/>
                <w:kern w:val="0"/>
                <w:sz w:val="24"/>
                <w:szCs w:val="24"/>
                <w:highlight w:val="none"/>
              </w:rPr>
            </w:pPr>
            <w:r>
              <w:rPr>
                <w:rFonts w:hint="eastAsia" w:ascii="仿宋" w:hAnsi="仿宋" w:eastAsia="仿宋" w:cs="仿宋"/>
                <w:b/>
                <w:bCs w:val="0"/>
                <w:color w:val="auto"/>
                <w:kern w:val="0"/>
                <w:sz w:val="24"/>
                <w:szCs w:val="24"/>
                <w:highlight w:val="none"/>
                <w:lang w:val="en-US" w:eastAsia="zh-CN"/>
              </w:rPr>
              <w:t>核准范围①</w:t>
            </w:r>
            <w:r>
              <w:rPr>
                <w:rFonts w:hint="eastAsia" w:ascii="仿宋" w:hAnsi="仿宋" w:eastAsia="仿宋" w:cs="仿宋"/>
                <w:bCs/>
                <w:color w:val="auto"/>
                <w:kern w:val="0"/>
                <w:sz w:val="24"/>
                <w:szCs w:val="24"/>
                <w:highlight w:val="none"/>
                <w:lang w:val="en-US" w:eastAsia="zh-CN"/>
              </w:rPr>
              <w:t>：11.4167</w:t>
            </w:r>
          </w:p>
        </w:tc>
        <w:tc>
          <w:tcPr>
            <w:tcW w:w="4000" w:type="dxa"/>
            <w:vAlign w:val="center"/>
          </w:tcPr>
          <w:p>
            <w:pPr>
              <w:keepNext w:val="0"/>
              <w:keepLines w:val="0"/>
              <w:suppressLineNumbers w:val="0"/>
              <w:topLinePunct/>
              <w:spacing w:before="0" w:beforeAutospacing="0" w:after="0" w:afterAutospacing="0" w:line="360" w:lineRule="auto"/>
              <w:ind w:left="0" w:right="0"/>
              <w:rPr>
                <w:rFonts w:hint="eastAsia" w:ascii="仿宋" w:hAnsi="仿宋" w:eastAsia="仿宋" w:cs="仿宋"/>
                <w:bCs/>
                <w:color w:val="auto"/>
                <w:kern w:val="0"/>
                <w:sz w:val="24"/>
                <w:szCs w:val="24"/>
                <w:highlight w:val="none"/>
                <w:lang w:eastAsia="zh-CN"/>
              </w:rPr>
            </w:pPr>
            <w:r>
              <w:rPr>
                <w:rFonts w:hint="eastAsia" w:ascii="仿宋" w:hAnsi="仿宋" w:eastAsia="仿宋" w:cs="仿宋"/>
                <w:b/>
                <w:bCs w:val="0"/>
                <w:color w:val="auto"/>
                <w:kern w:val="0"/>
                <w:sz w:val="24"/>
                <w:szCs w:val="24"/>
                <w:highlight w:val="none"/>
                <w:lang w:val="en-US" w:eastAsia="zh-CN"/>
              </w:rPr>
              <w:t>核准范围（一区两块）</w:t>
            </w:r>
            <w:r>
              <w:rPr>
                <w:rFonts w:hint="eastAsia" w:ascii="仿宋" w:hAnsi="仿宋" w:eastAsia="仿宋" w:cs="仿宋"/>
                <w:bCs/>
                <w:color w:val="auto"/>
                <w:kern w:val="0"/>
                <w:sz w:val="24"/>
                <w:szCs w:val="24"/>
                <w:highlight w:val="none"/>
                <w:lang w:val="en-US" w:eastAsia="zh-CN"/>
              </w:rPr>
              <w:t>：区块一、二涉及吉首市乾州街道，区块三涉及凤凰县竿子坪镇，区块四、五涉及吉首市吉凤街道，区块六涉及吉首市吉凤街道和凤凰县竿子坪镇，区块七—九涉及吉首市峒河街道。</w:t>
            </w:r>
          </w:p>
        </w:tc>
        <w:tc>
          <w:tcPr>
            <w:tcW w:w="2053" w:type="dxa"/>
            <w:vAlign w:val="center"/>
          </w:tcPr>
          <w:p>
            <w:pPr>
              <w:keepNext w:val="0"/>
              <w:keepLines w:val="0"/>
              <w:widowControl/>
              <w:suppressLineNumbers w:val="0"/>
              <w:spacing w:before="0" w:beforeAutospacing="0" w:after="0" w:afterAutospacing="0" w:line="360" w:lineRule="auto"/>
              <w:ind w:left="0" w:right="0"/>
              <w:rPr>
                <w:rFonts w:hint="eastAsia" w:ascii="仿宋" w:hAnsi="仿宋" w:eastAsia="仿宋" w:cs="仿宋"/>
                <w:bCs/>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吉凤街道、竿子坪镇</w:t>
            </w:r>
            <w:r>
              <w:rPr>
                <w:rFonts w:hint="eastAsia" w:ascii="仿宋" w:hAnsi="仿宋" w:eastAsia="仿宋" w:cs="仿宋"/>
                <w:bCs/>
                <w:color w:val="auto"/>
                <w:sz w:val="24"/>
                <w:szCs w:val="24"/>
                <w:highlight w:val="none"/>
                <w:lang w:val="en-US" w:eastAsia="zh-CN"/>
              </w:rPr>
              <w:t>：城市化地区；</w:t>
            </w:r>
          </w:p>
          <w:p>
            <w:pPr>
              <w:keepNext w:val="0"/>
              <w:keepLines w:val="0"/>
              <w:widowControl/>
              <w:suppressLineNumbers w:val="0"/>
              <w:spacing w:before="0" w:beforeAutospacing="0" w:after="0" w:afterAutospacing="0" w:line="360" w:lineRule="auto"/>
              <w:ind w:left="0" w:right="0"/>
              <w:rPr>
                <w:rFonts w:hint="eastAsia" w:ascii="仿宋" w:hAnsi="仿宋" w:eastAsia="仿宋" w:cs="仿宋"/>
                <w:bCs/>
                <w:color w:val="auto"/>
                <w:sz w:val="24"/>
                <w:szCs w:val="24"/>
                <w:highlight w:val="none"/>
                <w:lang w:eastAsia="zh-CN"/>
              </w:rPr>
            </w:pPr>
            <w:r>
              <w:rPr>
                <w:rFonts w:hint="eastAsia" w:ascii="仿宋" w:hAnsi="仿宋" w:eastAsia="仿宋" w:cs="仿宋"/>
                <w:b/>
                <w:bCs w:val="0"/>
                <w:color w:val="auto"/>
                <w:sz w:val="24"/>
                <w:szCs w:val="24"/>
                <w:highlight w:val="none"/>
                <w:lang w:val="en-US" w:eastAsia="zh-CN"/>
              </w:rPr>
              <w:t>峒河街道</w:t>
            </w:r>
            <w:r>
              <w:rPr>
                <w:rFonts w:hint="eastAsia" w:ascii="仿宋" w:hAnsi="仿宋" w:eastAsia="仿宋" w:cs="仿宋"/>
                <w:bCs/>
                <w:color w:val="auto"/>
                <w:sz w:val="24"/>
                <w:szCs w:val="24"/>
                <w:highlight w:val="none"/>
                <w:lang w:val="en-US" w:eastAsia="zh-CN"/>
              </w:rPr>
              <w:t>：城市化地区 /历史文化资源富集区</w:t>
            </w:r>
          </w:p>
        </w:tc>
        <w:tc>
          <w:tcPr>
            <w:tcW w:w="1914" w:type="dxa"/>
            <w:vAlign w:val="center"/>
          </w:tcPr>
          <w:p>
            <w:pPr>
              <w:pStyle w:val="5"/>
              <w:keepNext w:val="0"/>
              <w:keepLines w:val="0"/>
              <w:suppressLineNumbers w:val="0"/>
              <w:spacing w:before="0" w:beforeAutospacing="0" w:after="0" w:afterAutospacing="0" w:line="240" w:lineRule="auto"/>
              <w:ind w:left="0" w:right="0"/>
              <w:rPr>
                <w:rFonts w:hint="eastAsia" w:ascii="仿宋" w:hAnsi="仿宋" w:eastAsia="仿宋" w:cs="仿宋"/>
                <w:bCs/>
                <w:color w:val="auto"/>
                <w:kern w:val="0"/>
                <w:sz w:val="24"/>
                <w:szCs w:val="24"/>
                <w:highlight w:val="none"/>
              </w:rPr>
            </w:pPr>
            <w:r>
              <w:rPr>
                <w:rFonts w:hint="eastAsia" w:ascii="仿宋" w:hAnsi="仿宋" w:eastAsia="仿宋" w:cs="仿宋"/>
                <w:b/>
                <w:bCs w:val="0"/>
                <w:color w:val="auto"/>
                <w:kern w:val="0"/>
                <w:sz w:val="24"/>
                <w:szCs w:val="24"/>
                <w:highlight w:val="none"/>
              </w:rPr>
              <w:t>六部委公告2018年第4号：</w:t>
            </w:r>
            <w:r>
              <w:rPr>
                <w:rFonts w:hint="eastAsia" w:ascii="仿宋" w:hAnsi="仿宋" w:eastAsia="仿宋" w:cs="仿宋"/>
                <w:bCs/>
                <w:color w:val="auto"/>
                <w:kern w:val="0"/>
                <w:sz w:val="24"/>
                <w:szCs w:val="24"/>
                <w:highlight w:val="none"/>
              </w:rPr>
              <w:t>食品、医药、新材料、电子信息。</w:t>
            </w:r>
          </w:p>
          <w:p>
            <w:pPr>
              <w:pStyle w:val="5"/>
              <w:keepNext w:val="0"/>
              <w:keepLines w:val="0"/>
              <w:suppressLineNumbers w:val="0"/>
              <w:spacing w:before="0" w:beforeAutospacing="0" w:after="0" w:afterAutospacing="0" w:line="240" w:lineRule="auto"/>
              <w:ind w:left="0" w:right="0"/>
              <w:rPr>
                <w:rFonts w:hint="eastAsia" w:ascii="仿宋" w:hAnsi="仿宋" w:eastAsia="仿宋" w:cs="仿宋"/>
                <w:bCs/>
                <w:color w:val="auto"/>
                <w:kern w:val="0"/>
                <w:sz w:val="24"/>
                <w:szCs w:val="24"/>
                <w:highlight w:val="none"/>
              </w:rPr>
            </w:pPr>
            <w:r>
              <w:rPr>
                <w:rFonts w:hint="eastAsia" w:ascii="仿宋" w:hAnsi="仿宋" w:eastAsia="仿宋" w:cs="仿宋"/>
                <w:b/>
                <w:bCs w:val="0"/>
                <w:color w:val="auto"/>
                <w:kern w:val="0"/>
                <w:sz w:val="24"/>
                <w:szCs w:val="24"/>
                <w:highlight w:val="none"/>
              </w:rPr>
              <w:t>湘发改地区〔2021〕394号：</w:t>
            </w:r>
            <w:r>
              <w:rPr>
                <w:rFonts w:hint="eastAsia" w:ascii="仿宋" w:hAnsi="仿宋" w:eastAsia="仿宋" w:cs="仿宋"/>
                <w:bCs/>
                <w:color w:val="auto"/>
                <w:kern w:val="0"/>
                <w:sz w:val="24"/>
                <w:szCs w:val="24"/>
                <w:highlight w:val="none"/>
              </w:rPr>
              <w:t>主导产业：电子信息；特色产业：新材料。</w:t>
            </w:r>
          </w:p>
        </w:tc>
        <w:tc>
          <w:tcPr>
            <w:tcW w:w="1536"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开发区</w:t>
            </w:r>
            <w:r>
              <w:rPr>
                <w:rFonts w:hint="eastAsia" w:ascii="仿宋" w:hAnsi="仿宋" w:eastAsia="仿宋" w:cs="仿宋"/>
                <w:bCs/>
                <w:color w:val="auto"/>
                <w:kern w:val="0"/>
                <w:sz w:val="24"/>
                <w:szCs w:val="24"/>
                <w:highlight w:val="none"/>
                <w:lang w:val="en-US" w:eastAsia="zh-CN"/>
              </w:rPr>
              <w:t>内区块三~区块五</w:t>
            </w:r>
            <w:r>
              <w:rPr>
                <w:rFonts w:hint="eastAsia" w:ascii="仿宋" w:hAnsi="仿宋" w:eastAsia="仿宋" w:cs="仿宋"/>
                <w:bCs/>
                <w:color w:val="auto"/>
                <w:kern w:val="0"/>
                <w:sz w:val="24"/>
                <w:szCs w:val="24"/>
                <w:highlight w:val="none"/>
              </w:rPr>
              <w:t>与城市建成区</w:t>
            </w:r>
            <w:r>
              <w:rPr>
                <w:rFonts w:hint="eastAsia" w:ascii="仿宋" w:hAnsi="仿宋" w:eastAsia="仿宋" w:cs="仿宋"/>
                <w:bCs/>
                <w:color w:val="auto"/>
                <w:kern w:val="0"/>
                <w:sz w:val="24"/>
                <w:szCs w:val="24"/>
                <w:highlight w:val="none"/>
                <w:lang w:val="zh-CN"/>
              </w:rPr>
              <w:t>相融</w:t>
            </w:r>
            <w:r>
              <w:rPr>
                <w:rFonts w:hint="eastAsia" w:ascii="仿宋" w:hAnsi="仿宋" w:eastAsia="仿宋" w:cs="仿宋"/>
                <w:bCs/>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dxa"/>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管控维度</w:t>
            </w:r>
          </w:p>
        </w:tc>
        <w:tc>
          <w:tcPr>
            <w:tcW w:w="8098" w:type="dxa"/>
            <w:gridSpan w:val="7"/>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管控要求</w:t>
            </w:r>
          </w:p>
        </w:tc>
        <w:tc>
          <w:tcPr>
            <w:tcW w:w="5503" w:type="dxa"/>
            <w:gridSpan w:val="3"/>
            <w:vAlign w:val="center"/>
          </w:tcPr>
          <w:p>
            <w:pPr>
              <w:keepNext w:val="0"/>
              <w:keepLines w:val="0"/>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lang w:val="en-US" w:eastAsia="zh-CN"/>
              </w:rPr>
            </w:pPr>
            <w:r>
              <w:rPr>
                <w:rFonts w:hint="eastAsia" w:ascii="仿宋" w:hAnsi="仿宋" w:eastAsia="仿宋" w:cs="仿宋"/>
                <w:b/>
                <w:color w:val="auto"/>
                <w:kern w:val="0"/>
                <w:sz w:val="24"/>
                <w:szCs w:val="24"/>
                <w:highlight w:val="none"/>
                <w:lang w:val="en-US" w:eastAsia="zh-CN"/>
              </w:rPr>
              <w:t>落实情况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076" w:type="dxa"/>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kern w:val="0"/>
                <w:sz w:val="24"/>
                <w:szCs w:val="24"/>
                <w:highlight w:val="none"/>
              </w:rPr>
              <w:t>空间布局约束</w:t>
            </w:r>
          </w:p>
        </w:tc>
        <w:tc>
          <w:tcPr>
            <w:tcW w:w="8098" w:type="dxa"/>
            <w:gridSpan w:val="7"/>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20" w:lineRule="auto"/>
              <w:ind w:left="0" w:right="0" w:firstLine="480" w:firstLineChars="200"/>
              <w:textAlignment w:val="auto"/>
              <w:rPr>
                <w:rFonts w:hint="eastAsia" w:ascii="仿宋" w:hAnsi="仿宋" w:eastAsia="仿宋" w:cs="仿宋"/>
                <w:bCs/>
                <w:strike w:val="0"/>
                <w:color w:val="auto"/>
                <w:kern w:val="0"/>
                <w:sz w:val="24"/>
                <w:szCs w:val="24"/>
                <w:highlight w:val="none"/>
              </w:rPr>
            </w:pPr>
            <w:r>
              <w:rPr>
                <w:rFonts w:hint="eastAsia" w:ascii="仿宋" w:hAnsi="仿宋" w:eastAsia="仿宋" w:cs="仿宋"/>
                <w:bCs/>
                <w:strike w:val="0"/>
                <w:color w:val="auto"/>
                <w:kern w:val="0"/>
                <w:sz w:val="24"/>
                <w:szCs w:val="24"/>
                <w:highlight w:val="none"/>
              </w:rPr>
              <w:t>（1.1）禁止新引进三类工业，禁止引进线路板、初级冶炼等排水涉重金属企业，严格控制发展气型污染企业及废水排放量大的项目。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20" w:lineRule="auto"/>
              <w:ind w:left="0" w:right="0" w:firstLine="480" w:firstLineChars="200"/>
              <w:textAlignment w:val="auto"/>
              <w:rPr>
                <w:rFonts w:hint="eastAsia" w:ascii="仿宋" w:hAnsi="仿宋" w:eastAsia="仿宋" w:cs="仿宋"/>
                <w:bCs/>
                <w:strike w:val="0"/>
                <w:color w:val="auto"/>
                <w:kern w:val="0"/>
                <w:sz w:val="24"/>
                <w:szCs w:val="24"/>
                <w:highlight w:val="none"/>
              </w:rPr>
            </w:pPr>
            <w:r>
              <w:rPr>
                <w:rFonts w:hint="eastAsia" w:ascii="仿宋" w:hAnsi="仿宋" w:eastAsia="仿宋" w:cs="仿宋"/>
                <w:bCs/>
                <w:strike w:val="0"/>
                <w:color w:val="auto"/>
                <w:kern w:val="0"/>
                <w:sz w:val="24"/>
                <w:szCs w:val="24"/>
                <w:highlight w:val="none"/>
              </w:rPr>
              <w:t>（1.</w:t>
            </w:r>
            <w:r>
              <w:rPr>
                <w:rFonts w:hint="eastAsia" w:ascii="仿宋" w:hAnsi="仿宋" w:eastAsia="仿宋" w:cs="仿宋"/>
                <w:bCs/>
                <w:strike w:val="0"/>
                <w:color w:val="auto"/>
                <w:kern w:val="0"/>
                <w:sz w:val="24"/>
                <w:szCs w:val="24"/>
                <w:highlight w:val="none"/>
                <w:lang w:val="en-US" w:eastAsia="zh-CN"/>
              </w:rPr>
              <w:t>2</w:t>
            </w:r>
            <w:r>
              <w:rPr>
                <w:rFonts w:hint="eastAsia" w:ascii="仿宋" w:hAnsi="仿宋" w:eastAsia="仿宋" w:cs="仿宋"/>
                <w:bCs/>
                <w:strike w:val="0"/>
                <w:color w:val="auto"/>
                <w:kern w:val="0"/>
                <w:sz w:val="24"/>
                <w:szCs w:val="24"/>
                <w:highlight w:val="none"/>
              </w:rPr>
              <w:t>）优先引进使用清洁能源、能耗低、技术工艺先进、清洁生产和环保管理水平高、污染物排放量少、污染防治技术成熟的企业，积极推进园区产业转型升级。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20" w:lineRule="auto"/>
              <w:ind w:left="0" w:right="0" w:firstLine="480" w:firstLineChars="200"/>
              <w:textAlignment w:val="auto"/>
              <w:rPr>
                <w:rFonts w:hint="eastAsia" w:ascii="仿宋" w:hAnsi="仿宋" w:eastAsia="仿宋" w:cs="仿宋"/>
                <w:bCs/>
                <w:strike/>
                <w:color w:val="auto"/>
                <w:kern w:val="0"/>
                <w:sz w:val="24"/>
                <w:szCs w:val="24"/>
                <w:highlight w:val="none"/>
              </w:rPr>
            </w:pPr>
            <w:r>
              <w:rPr>
                <w:rFonts w:hint="eastAsia" w:ascii="仿宋" w:hAnsi="仿宋" w:eastAsia="仿宋" w:cs="仿宋"/>
                <w:bCs/>
                <w:strike w:val="0"/>
                <w:color w:val="auto"/>
                <w:kern w:val="0"/>
                <w:sz w:val="24"/>
                <w:szCs w:val="24"/>
                <w:highlight w:val="none"/>
              </w:rPr>
              <w:t>（1.</w:t>
            </w:r>
            <w:r>
              <w:rPr>
                <w:rFonts w:hint="eastAsia" w:ascii="仿宋" w:hAnsi="仿宋" w:eastAsia="仿宋" w:cs="仿宋"/>
                <w:bCs/>
                <w:strike w:val="0"/>
                <w:color w:val="auto"/>
                <w:kern w:val="0"/>
                <w:sz w:val="24"/>
                <w:szCs w:val="24"/>
                <w:highlight w:val="none"/>
                <w:lang w:val="en-US" w:eastAsia="zh-CN"/>
              </w:rPr>
              <w:t>3</w:t>
            </w:r>
            <w:r>
              <w:rPr>
                <w:rFonts w:hint="eastAsia" w:ascii="仿宋" w:hAnsi="仿宋" w:eastAsia="仿宋" w:cs="仿宋"/>
                <w:bCs/>
                <w:strike w:val="0"/>
                <w:color w:val="auto"/>
                <w:kern w:val="0"/>
                <w:sz w:val="24"/>
                <w:szCs w:val="24"/>
                <w:highlight w:val="none"/>
              </w:rPr>
              <w:t>）对布局于土地利用性质与规划不符地块上的企业，应逐步搬迁退出</w:t>
            </w:r>
            <w:r>
              <w:rPr>
                <w:rFonts w:hint="eastAsia" w:ascii="仿宋" w:hAnsi="仿宋" w:eastAsia="仿宋" w:cs="仿宋"/>
                <w:bCs/>
                <w:strike w:val="0"/>
                <w:color w:val="auto"/>
                <w:kern w:val="0"/>
                <w:sz w:val="24"/>
                <w:szCs w:val="24"/>
                <w:highlight w:val="none"/>
                <w:lang w:eastAsia="zh-CN"/>
              </w:rPr>
              <w:t>；</w:t>
            </w:r>
            <w:r>
              <w:rPr>
                <w:rFonts w:hint="eastAsia" w:ascii="仿宋" w:hAnsi="仿宋" w:eastAsia="仿宋" w:cs="仿宋"/>
                <w:bCs/>
                <w:strike w:val="0"/>
                <w:color w:val="auto"/>
                <w:kern w:val="0"/>
                <w:sz w:val="24"/>
                <w:szCs w:val="24"/>
                <w:highlight w:val="none"/>
              </w:rPr>
              <w:t>具备环境合理性的应通过用地规划调整使之合规</w:t>
            </w:r>
            <w:r>
              <w:rPr>
                <w:rFonts w:hint="eastAsia" w:ascii="仿宋" w:hAnsi="仿宋" w:eastAsia="仿宋" w:cs="仿宋"/>
                <w:bCs/>
                <w:strike w:val="0"/>
                <w:color w:val="auto"/>
                <w:kern w:val="0"/>
                <w:sz w:val="24"/>
                <w:szCs w:val="24"/>
                <w:highlight w:val="none"/>
                <w:lang w:eastAsia="zh-CN"/>
              </w:rPr>
              <w:t>；</w:t>
            </w:r>
            <w:r>
              <w:rPr>
                <w:rFonts w:hint="eastAsia" w:ascii="仿宋" w:hAnsi="仿宋" w:eastAsia="仿宋" w:cs="仿宋"/>
                <w:bCs/>
                <w:strike w:val="0"/>
                <w:color w:val="auto"/>
                <w:kern w:val="0"/>
                <w:sz w:val="24"/>
                <w:szCs w:val="24"/>
                <w:highlight w:val="none"/>
                <w:lang w:val="en-US" w:eastAsia="zh-CN"/>
              </w:rPr>
              <w:t>对于正在搬迁退出的企业，应严防产生二次污染</w:t>
            </w:r>
            <w:r>
              <w:rPr>
                <w:rFonts w:hint="eastAsia" w:ascii="仿宋" w:hAnsi="仿宋" w:eastAsia="仿宋" w:cs="仿宋"/>
                <w:bCs/>
                <w:strike w:val="0"/>
                <w:color w:val="auto"/>
                <w:kern w:val="0"/>
                <w:sz w:val="24"/>
                <w:szCs w:val="24"/>
                <w:highlight w:val="none"/>
              </w:rPr>
              <w:t>。</w:t>
            </w:r>
          </w:p>
        </w:tc>
        <w:tc>
          <w:tcPr>
            <w:tcW w:w="5503" w:type="dxa"/>
            <w:gridSpan w:val="3"/>
            <w:vAlign w:val="center"/>
          </w:tcPr>
          <w:p>
            <w:pPr>
              <w:keepNext w:val="0"/>
              <w:keepLines w:val="0"/>
              <w:suppressLineNumbers w:val="0"/>
              <w:spacing w:before="0" w:beforeAutospacing="0" w:after="0" w:afterAutospacing="0"/>
              <w:ind w:left="0" w:right="0"/>
              <w:rPr>
                <w:rFonts w:hint="eastAsia" w:ascii="仿宋" w:hAnsi="仿宋" w:eastAsia="仿宋" w:cs="仿宋"/>
                <w:bCs/>
                <w:color w:val="auto"/>
                <w:sz w:val="24"/>
                <w:szCs w:val="24"/>
                <w:highlight w:val="none"/>
              </w:rPr>
            </w:pPr>
            <w:r>
              <w:rPr>
                <w:rFonts w:hint="eastAsia" w:ascii="仿宋_GB2312" w:hAnsi="等线" w:eastAsia="仿宋_GB2312" w:cs="仿宋_GB2312"/>
                <w:i w:val="0"/>
                <w:color w:val="auto"/>
                <w:kern w:val="0"/>
                <w:sz w:val="24"/>
                <w:szCs w:val="24"/>
                <w:highlight w:val="none"/>
                <w:u w:val="none"/>
                <w:lang w:val="en-US" w:eastAsia="zh-CN" w:bidi="ar"/>
              </w:rPr>
              <w:t>严格按照清单中“空间布局约束”要求，园区位于凤凰县部分严格落实凤凰县产业准入负面清单要求，未引进三类产业，未引进线路板、初级冶炼等企业，取消园区部分产业用地，优化园区产业空间布局，科学规划空间发展布局和功能分区，对布局于土地利用性质与规划不符地块上的企业（顺登磨具厂），已经启动搬迁退出程序，现已经逐步形成核心生活区、科教文卫区、金融服务区、工业集中区等保持联系、彼此独立的合理分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6" w:type="dxa"/>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kern w:val="0"/>
                <w:sz w:val="24"/>
                <w:szCs w:val="24"/>
                <w:highlight w:val="none"/>
              </w:rPr>
              <w:t>污染物排放管控</w:t>
            </w:r>
          </w:p>
        </w:tc>
        <w:tc>
          <w:tcPr>
            <w:tcW w:w="8098" w:type="dxa"/>
            <w:gridSpan w:val="7"/>
            <w:vAlign w:val="center"/>
          </w:tcPr>
          <w:p>
            <w:pPr>
              <w:keepNext w:val="0"/>
              <w:keepLines w:val="0"/>
              <w:suppressLineNumbers w:val="0"/>
              <w:spacing w:before="0" w:beforeAutospacing="0" w:after="0" w:afterAutospacing="0"/>
              <w:ind w:left="0" w:right="0"/>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szCs w:val="24"/>
                <w:highlight w:val="none"/>
              </w:rPr>
              <w:t>（2.1）废水：</w:t>
            </w:r>
            <w:r>
              <w:rPr>
                <w:rFonts w:hint="eastAsia" w:ascii="仿宋" w:hAnsi="仿宋" w:eastAsia="仿宋" w:cs="仿宋"/>
                <w:bCs/>
                <w:color w:val="auto"/>
                <w:kern w:val="0"/>
                <w:sz w:val="24"/>
                <w:szCs w:val="24"/>
                <w:highlight w:val="none"/>
                <w:lang w:val="en-US" w:eastAsia="zh-CN"/>
              </w:rPr>
              <w:t>高新区</w:t>
            </w:r>
            <w:r>
              <w:rPr>
                <w:rFonts w:hint="eastAsia" w:ascii="仿宋" w:hAnsi="仿宋" w:eastAsia="仿宋" w:cs="仿宋"/>
                <w:bCs/>
                <w:color w:val="auto"/>
                <w:kern w:val="0"/>
                <w:sz w:val="24"/>
                <w:szCs w:val="24"/>
                <w:highlight w:val="none"/>
              </w:rPr>
              <w:t>排水实施雨污分流</w:t>
            </w:r>
            <w:r>
              <w:rPr>
                <w:rFonts w:hint="eastAsia" w:ascii="仿宋" w:hAnsi="仿宋" w:eastAsia="仿宋" w:cs="仿宋"/>
                <w:bCs/>
                <w:color w:val="auto"/>
                <w:kern w:val="0"/>
                <w:sz w:val="24"/>
                <w:szCs w:val="24"/>
                <w:highlight w:val="none"/>
                <w:lang w:eastAsia="zh-CN"/>
              </w:rPr>
              <w:t>，</w:t>
            </w:r>
            <w:r>
              <w:rPr>
                <w:rFonts w:hint="eastAsia" w:ascii="仿宋" w:hAnsi="仿宋" w:eastAsia="仿宋" w:cs="仿宋"/>
                <w:bCs/>
                <w:color w:val="auto"/>
                <w:kern w:val="0"/>
                <w:sz w:val="24"/>
                <w:szCs w:val="24"/>
                <w:highlight w:val="none"/>
                <w:lang w:val="en-US" w:eastAsia="zh-CN"/>
              </w:rPr>
              <w:t>电子信息、新材料等企业废水处理应按照“一厂一策”分类处理</w:t>
            </w:r>
            <w:r>
              <w:rPr>
                <w:rFonts w:hint="eastAsia" w:ascii="仿宋" w:hAnsi="仿宋" w:eastAsia="仿宋" w:cs="仿宋"/>
                <w:bCs/>
                <w:color w:val="auto"/>
                <w:kern w:val="0"/>
                <w:sz w:val="24"/>
                <w:szCs w:val="24"/>
                <w:highlight w:val="none"/>
                <w:lang w:eastAsia="zh-CN"/>
              </w:rPr>
              <w:t>。高新区配套污水处理厂建成前废污水经乾州污水处理厂处理后排入万溶江，在高新区配套污水处理厂建成后污水经配套污水处理厂处理达标后排入万溶江。</w:t>
            </w:r>
          </w:p>
          <w:p>
            <w:pPr>
              <w:keepNext w:val="0"/>
              <w:keepLines w:val="0"/>
              <w:suppressLineNumbers w:val="0"/>
              <w:spacing w:before="0" w:beforeAutospacing="0" w:after="0" w:afterAutospacing="0"/>
              <w:ind w:left="0" w:right="0"/>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szCs w:val="24"/>
                <w:highlight w:val="none"/>
                <w:lang w:eastAsia="zh-CN"/>
              </w:rPr>
              <w:t>（2.2）废气：</w:t>
            </w:r>
          </w:p>
          <w:p>
            <w:pPr>
              <w:keepNext w:val="0"/>
              <w:keepLines w:val="0"/>
              <w:suppressLineNumbers w:val="0"/>
              <w:spacing w:before="0" w:beforeAutospacing="0" w:after="0" w:afterAutospacing="0"/>
              <w:ind w:left="0" w:right="0"/>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szCs w:val="24"/>
                <w:highlight w:val="none"/>
                <w:lang w:eastAsia="zh-CN"/>
              </w:rPr>
              <w:t>（2.2.1）对各企业工艺废气生产节点，应配置废气收集与净化处理装置，确保达标排放；加强生产工艺研究与技术改进，采取有效措施，减少入园企业工艺废气的无组织排放；督促园区企业落实大气污染控制措施，加强对重点气型污染企业的监管力度，确保达标排放。</w:t>
            </w:r>
          </w:p>
          <w:p>
            <w:pPr>
              <w:keepNext w:val="0"/>
              <w:keepLines w:val="0"/>
              <w:suppressLineNumbers w:val="0"/>
              <w:spacing w:before="0" w:beforeAutospacing="0" w:after="0" w:afterAutospacing="0"/>
              <w:ind w:left="0" w:right="0"/>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szCs w:val="24"/>
                <w:highlight w:val="none"/>
                <w:lang w:eastAsia="zh-CN"/>
              </w:rPr>
              <w:t>（2.2.2）加快推进含VOCs原辅材料源头替代，实施清洁能源替代，强化工业涂装、包装印刷等重点行业及油品运销VOCs深度治理，加大锅炉、炉窑、移动源氮氧化物减排力度。</w:t>
            </w:r>
          </w:p>
          <w:p>
            <w:pPr>
              <w:keepNext w:val="0"/>
              <w:keepLines w:val="0"/>
              <w:suppressLineNumbers w:val="0"/>
              <w:spacing w:before="0" w:beforeAutospacing="0" w:after="0" w:afterAutospacing="0"/>
              <w:ind w:left="0" w:right="0"/>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szCs w:val="24"/>
                <w:highlight w:val="none"/>
                <w:lang w:eastAsia="zh-CN"/>
              </w:rPr>
              <w:t>（2.2.3）</w:t>
            </w:r>
            <w:r>
              <w:rPr>
                <w:rFonts w:hint="eastAsia" w:ascii="仿宋" w:hAnsi="仿宋" w:eastAsia="仿宋" w:cs="仿宋"/>
                <w:bCs/>
                <w:color w:val="auto"/>
                <w:kern w:val="0"/>
                <w:sz w:val="24"/>
                <w:szCs w:val="24"/>
                <w:highlight w:val="none"/>
                <w:lang w:val="en-US" w:eastAsia="zh-CN"/>
              </w:rPr>
              <w:t>高新区</w:t>
            </w:r>
            <w:r>
              <w:rPr>
                <w:rFonts w:hint="eastAsia" w:ascii="仿宋" w:hAnsi="仿宋" w:eastAsia="仿宋" w:cs="仿宋"/>
                <w:bCs/>
                <w:color w:val="auto"/>
                <w:kern w:val="0"/>
                <w:sz w:val="24"/>
                <w:szCs w:val="24"/>
                <w:highlight w:val="none"/>
                <w:lang w:eastAsia="zh-CN"/>
              </w:rPr>
              <w:t>内水泥行业大气污染物排放应满足《湖南省生态环境厅关于执行污染物特别排放限值（第一批）的公告》的要求。</w:t>
            </w:r>
          </w:p>
          <w:p>
            <w:pPr>
              <w:keepNext w:val="0"/>
              <w:keepLines w:val="0"/>
              <w:suppressLineNumbers w:val="0"/>
              <w:spacing w:before="0" w:beforeAutospacing="0" w:after="0" w:afterAutospacing="0"/>
              <w:ind w:left="0" w:right="0"/>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szCs w:val="24"/>
                <w:highlight w:val="none"/>
                <w:lang w:eastAsia="zh-CN"/>
              </w:rPr>
              <w:t>（2.2.4）推广可再生能源使用，</w:t>
            </w:r>
            <w:r>
              <w:rPr>
                <w:rFonts w:hint="eastAsia" w:ascii="仿宋" w:hAnsi="仿宋" w:eastAsia="仿宋" w:cs="仿宋"/>
                <w:bCs/>
                <w:color w:val="auto"/>
                <w:kern w:val="0"/>
                <w:sz w:val="24"/>
                <w:szCs w:val="24"/>
                <w:highlight w:val="none"/>
                <w:lang w:val="en-US" w:eastAsia="zh-CN"/>
              </w:rPr>
              <w:t>在高新区内水泥等行业</w:t>
            </w:r>
            <w:r>
              <w:rPr>
                <w:rFonts w:hint="eastAsia" w:ascii="仿宋" w:hAnsi="仿宋" w:eastAsia="仿宋" w:cs="仿宋"/>
                <w:bCs/>
                <w:color w:val="auto"/>
                <w:kern w:val="0"/>
                <w:sz w:val="24"/>
                <w:szCs w:val="24"/>
                <w:highlight w:val="none"/>
                <w:lang w:eastAsia="zh-CN"/>
              </w:rPr>
              <w:t>推广降低温室气体排放的节能技术。</w:t>
            </w:r>
          </w:p>
          <w:p>
            <w:pPr>
              <w:keepNext w:val="0"/>
              <w:keepLines w:val="0"/>
              <w:suppressLineNumbers w:val="0"/>
              <w:spacing w:before="0" w:beforeAutospacing="0" w:after="0" w:afterAutospacing="0"/>
              <w:ind w:left="0" w:right="0"/>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szCs w:val="24"/>
                <w:highlight w:val="none"/>
                <w:lang w:eastAsia="zh-CN"/>
              </w:rPr>
              <w:t>（2.3）固废：做好工业固体废物和生活垃圾的分类收集、转运、综合利用和无害化处理，建立完善的固废管理体系。推行清洁生产，减少固体废物产生量；加强固体废物的资源化进程，提高综合利用率；规范固体废物处理措施，严防二次污染。对危险固废应严格按照国家有关规定综合利用或妥善处置，对危险废物产生企业和经营单位，应强化日常环境监管。</w:t>
            </w:r>
          </w:p>
        </w:tc>
        <w:tc>
          <w:tcPr>
            <w:tcW w:w="5503" w:type="dxa"/>
            <w:gridSpan w:val="3"/>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等线" w:eastAsia="仿宋_GB2312" w:cs="仿宋_GB2312"/>
                <w:i w:val="0"/>
                <w:color w:val="FF0000"/>
                <w:kern w:val="0"/>
                <w:sz w:val="24"/>
                <w:szCs w:val="24"/>
                <w:highlight w:val="none"/>
                <w:u w:val="none"/>
                <w:lang w:val="en-US" w:eastAsia="zh-CN" w:bidi="ar"/>
              </w:rPr>
            </w:pPr>
            <w:r>
              <w:rPr>
                <w:rFonts w:hint="eastAsia" w:ascii="仿宋_GB2312" w:hAnsi="等线" w:eastAsia="仿宋_GB2312" w:cs="仿宋_GB2312"/>
                <w:i w:val="0"/>
                <w:color w:val="FF0000"/>
                <w:kern w:val="0"/>
                <w:sz w:val="24"/>
                <w:szCs w:val="24"/>
                <w:highlight w:val="none"/>
                <w:u w:val="none"/>
                <w:lang w:val="en-US" w:eastAsia="zh-CN" w:bidi="ar"/>
              </w:rPr>
              <w:t>一是高新区严格实行雨污分流，园区工业、生活污水实现管网全覆盖全收集，现阶段污水排入乾州污水处理厂处理。</w:t>
            </w:r>
          </w:p>
          <w:p>
            <w:pPr>
              <w:keepNext w:val="0"/>
              <w:keepLines w:val="0"/>
              <w:widowControl/>
              <w:suppressLineNumbers w:val="0"/>
              <w:spacing w:before="0" w:beforeAutospacing="0" w:after="0" w:afterAutospacing="0"/>
              <w:ind w:left="0" w:right="0"/>
              <w:jc w:val="left"/>
              <w:textAlignment w:val="center"/>
              <w:rPr>
                <w:rFonts w:hint="eastAsia" w:ascii="仿宋_GB2312" w:hAnsi="等线" w:eastAsia="仿宋_GB2312" w:cs="仿宋_GB2312"/>
                <w:i w:val="0"/>
                <w:color w:val="auto"/>
                <w:kern w:val="0"/>
                <w:sz w:val="24"/>
                <w:szCs w:val="24"/>
                <w:highlight w:val="none"/>
                <w:u w:val="none"/>
                <w:lang w:val="en-US" w:eastAsia="zh-CN" w:bidi="ar"/>
              </w:rPr>
            </w:pPr>
            <w:r>
              <w:rPr>
                <w:rFonts w:hint="eastAsia" w:ascii="仿宋_GB2312" w:hAnsi="等线" w:eastAsia="仿宋_GB2312" w:cs="仿宋_GB2312"/>
                <w:i w:val="0"/>
                <w:color w:val="auto"/>
                <w:kern w:val="0"/>
                <w:sz w:val="24"/>
                <w:szCs w:val="24"/>
                <w:highlight w:val="none"/>
                <w:u w:val="none"/>
                <w:lang w:val="en-US" w:eastAsia="zh-CN" w:bidi="ar"/>
              </w:rPr>
              <w:t>二是大力落实大气污染控制措施，对产生大气污染物的企业加强管控，督促升级生产工艺，严格按照污染防治要求，确保达标排放。园区涉VOCs重点企业均建设了收集和处理设施。</w:t>
            </w:r>
          </w:p>
          <w:p>
            <w:pPr>
              <w:keepNext w:val="0"/>
              <w:keepLines w:val="0"/>
              <w:suppressLineNumbers w:val="0"/>
              <w:tabs>
                <w:tab w:val="left" w:pos="1021"/>
              </w:tabs>
              <w:spacing w:before="0" w:beforeAutospacing="0" w:after="0" w:afterAutospacing="0"/>
              <w:ind w:left="0" w:right="0"/>
              <w:jc w:val="center"/>
              <w:rPr>
                <w:rFonts w:hint="default" w:ascii="仿宋" w:hAnsi="仿宋" w:eastAsia="仿宋" w:cs="仿宋"/>
                <w:b/>
                <w:color w:val="auto"/>
                <w:kern w:val="0"/>
                <w:sz w:val="24"/>
                <w:szCs w:val="24"/>
                <w:highlight w:val="none"/>
                <w:lang w:val="en-US" w:eastAsia="zh-CN"/>
              </w:rPr>
            </w:pPr>
            <w:r>
              <w:rPr>
                <w:rFonts w:hint="eastAsia" w:ascii="仿宋_GB2312" w:hAnsi="等线" w:eastAsia="仿宋_GB2312" w:cs="仿宋_GB2312"/>
                <w:i w:val="0"/>
                <w:color w:val="auto"/>
                <w:kern w:val="0"/>
                <w:sz w:val="24"/>
                <w:szCs w:val="24"/>
                <w:highlight w:val="none"/>
                <w:u w:val="none"/>
                <w:lang w:val="en-US" w:eastAsia="zh-CN" w:bidi="ar"/>
              </w:rPr>
              <w:t>三是建立完善的固废管理体系，园区已建成小微企业危险废物贮存中心并将于2024年投入使用，对园区固废企业从严监管，均纳入了固废管理平台，一年来，园区没有发生一起大气污染或危废处置问题的环境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dxa"/>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kern w:val="0"/>
                <w:sz w:val="24"/>
                <w:szCs w:val="24"/>
                <w:highlight w:val="none"/>
              </w:rPr>
              <w:t>环境风险防控</w:t>
            </w:r>
          </w:p>
        </w:tc>
        <w:tc>
          <w:tcPr>
            <w:tcW w:w="8098" w:type="dxa"/>
            <w:gridSpan w:val="7"/>
            <w:vAlign w:val="center"/>
          </w:tcPr>
          <w:p>
            <w:pPr>
              <w:keepNext w:val="0"/>
              <w:keepLines w:val="0"/>
              <w:suppressLineNumbers w:val="0"/>
              <w:spacing w:before="0" w:beforeAutospacing="0" w:after="0" w:afterAutospacing="0"/>
              <w:ind w:left="0" w:right="199" w:rightChars="71"/>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（3.1）</w:t>
            </w:r>
            <w:r>
              <w:rPr>
                <w:rFonts w:hint="eastAsia" w:ascii="仿宋" w:hAnsi="仿宋" w:eastAsia="仿宋" w:cs="仿宋"/>
                <w:bCs/>
                <w:color w:val="auto"/>
                <w:sz w:val="24"/>
                <w:szCs w:val="24"/>
                <w:highlight w:val="none"/>
                <w:lang w:val="en-US" w:eastAsia="zh-CN"/>
              </w:rPr>
              <w:t>高新</w:t>
            </w:r>
            <w:r>
              <w:rPr>
                <w:rFonts w:hint="eastAsia" w:ascii="仿宋" w:hAnsi="仿宋" w:eastAsia="仿宋" w:cs="仿宋"/>
                <w:bCs/>
                <w:color w:val="auto"/>
                <w:sz w:val="24"/>
                <w:szCs w:val="24"/>
                <w:highlight w:val="none"/>
              </w:rPr>
              <w:t>区应建立健全开发区环境风险防控体系，组织落实《湘西高新技术产业开发区突发环境事件应急预案（2021年修编）》的相关要求，加强环境风险事故防范和应急管理。加强开发区危险化学品储运的环境风险管理，严格落实应急响应联动机制，确保区域环境安全。</w:t>
            </w:r>
          </w:p>
          <w:p>
            <w:pPr>
              <w:keepNext w:val="0"/>
              <w:keepLines w:val="0"/>
              <w:suppressLineNumbers w:val="0"/>
              <w:spacing w:before="0" w:beforeAutospacing="0" w:after="0" w:afterAutospacing="0"/>
              <w:ind w:left="0" w:right="199" w:rightChars="71"/>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（3.2）</w:t>
            </w:r>
            <w:r>
              <w:rPr>
                <w:rFonts w:hint="eastAsia" w:ascii="仿宋" w:hAnsi="仿宋" w:eastAsia="仿宋" w:cs="仿宋"/>
                <w:bCs/>
                <w:color w:val="auto"/>
                <w:sz w:val="24"/>
                <w:szCs w:val="24"/>
                <w:highlight w:val="none"/>
                <w:lang w:val="en-US" w:eastAsia="zh-CN"/>
              </w:rPr>
              <w:t>高新</w:t>
            </w:r>
            <w:r>
              <w:rPr>
                <w:rFonts w:hint="eastAsia" w:ascii="仿宋" w:hAnsi="仿宋" w:eastAsia="仿宋" w:cs="仿宋"/>
                <w:bCs/>
                <w:color w:val="auto"/>
                <w:sz w:val="24"/>
                <w:szCs w:val="24"/>
                <w:highlight w:val="none"/>
              </w:rPr>
              <w:t>区可能发生突发环境事件的污染物排放企业，储存、运输、使用危险化学品的企业，产生、收集、贮存、运输危险废物的企业等应当编制和实施环境应急预案</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每年至少培训、演练一次</w:t>
            </w:r>
            <w:r>
              <w:rPr>
                <w:rFonts w:hint="eastAsia" w:ascii="仿宋" w:hAnsi="仿宋" w:eastAsia="仿宋" w:cs="仿宋"/>
                <w:bCs/>
                <w:color w:val="auto"/>
                <w:sz w:val="24"/>
                <w:szCs w:val="24"/>
                <w:highlight w:val="none"/>
              </w:rPr>
              <w:t>；鼓励其他企业制定单独的环境应急预案，或在突发事件应急预案中制定环境应急预案专章，并备案。</w:t>
            </w:r>
          </w:p>
        </w:tc>
        <w:tc>
          <w:tcPr>
            <w:tcW w:w="5503" w:type="dxa"/>
            <w:gridSpan w:val="3"/>
            <w:vAlign w:val="center"/>
          </w:tcPr>
          <w:p>
            <w:pPr>
              <w:keepNext w:val="0"/>
              <w:keepLines w:val="0"/>
              <w:suppressLineNumbers w:val="0"/>
              <w:tabs>
                <w:tab w:val="left" w:pos="1021"/>
              </w:tabs>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_GB2312" w:hAnsi="等线" w:eastAsia="仿宋_GB2312" w:cs="仿宋_GB2312"/>
                <w:i w:val="0"/>
                <w:color w:val="auto"/>
                <w:kern w:val="0"/>
                <w:sz w:val="24"/>
                <w:szCs w:val="24"/>
                <w:highlight w:val="none"/>
                <w:u w:val="none"/>
                <w:lang w:val="en-US" w:eastAsia="zh-CN" w:bidi="ar"/>
              </w:rPr>
              <w:t>建立了较为完备的环境风险防控体系，园区自身和存在风险的相关重点企业均制定了环境风险应急预案，按要求更新了部分风险应急物资账，加强环境风险事故防范和应急，确保区域环境安全。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dxa"/>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kern w:val="0"/>
                <w:sz w:val="24"/>
                <w:szCs w:val="24"/>
                <w:highlight w:val="none"/>
              </w:rPr>
              <w:t>资源开发效率要求</w:t>
            </w:r>
          </w:p>
        </w:tc>
        <w:tc>
          <w:tcPr>
            <w:tcW w:w="8098" w:type="dxa"/>
            <w:gridSpan w:val="7"/>
            <w:vAlign w:val="center"/>
          </w:tcPr>
          <w:p>
            <w:pPr>
              <w:keepNext w:val="0"/>
              <w:keepLines w:val="0"/>
              <w:suppressLineNumbers w:val="0"/>
              <w:spacing w:before="0" w:beforeAutospacing="0" w:after="0" w:afterAutospacing="0"/>
              <w:ind w:left="0" w:right="0"/>
              <w:jc w:val="left"/>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（4.1）能源：按相关要求落实清洁能源供给与替代，积极推广清洁能源，逐步减少燃煤用量，</w:t>
            </w:r>
            <w:r>
              <w:rPr>
                <w:rFonts w:hint="default" w:ascii="Times New Roman" w:hAnsi="Times New Roman" w:eastAsia="仿宋" w:cs="Times New Roman"/>
                <w:bCs/>
                <w:color w:val="auto"/>
                <w:sz w:val="24"/>
                <w:szCs w:val="24"/>
                <w:highlight w:val="none"/>
                <w:lang w:val="en-US" w:eastAsia="zh-CN"/>
              </w:rPr>
              <w:t>高新区</w:t>
            </w:r>
            <w:r>
              <w:rPr>
                <w:rFonts w:hint="default" w:ascii="Times New Roman" w:hAnsi="Times New Roman" w:eastAsia="仿宋" w:cs="Times New Roman"/>
                <w:bCs/>
                <w:color w:val="auto"/>
                <w:sz w:val="24"/>
                <w:szCs w:val="24"/>
                <w:highlight w:val="none"/>
              </w:rPr>
              <w:t>内不得燃用中、高硫煤</w:t>
            </w:r>
            <w:r>
              <w:rPr>
                <w:rFonts w:hint="default" w:ascii="Times New Roman" w:hAnsi="Times New Roman" w:eastAsia="仿宋" w:cs="Times New Roman"/>
                <w:bCs/>
                <w:color w:val="auto"/>
                <w:sz w:val="24"/>
                <w:szCs w:val="24"/>
                <w:highlight w:val="none"/>
                <w:lang w:eastAsia="zh-CN"/>
              </w:rPr>
              <w:t>，</w:t>
            </w:r>
            <w:r>
              <w:rPr>
                <w:rFonts w:hint="default" w:ascii="Times New Roman" w:hAnsi="Times New Roman" w:eastAsia="仿宋" w:cs="Times New Roman"/>
                <w:bCs/>
                <w:color w:val="auto"/>
                <w:sz w:val="24"/>
                <w:szCs w:val="24"/>
                <w:highlight w:val="none"/>
                <w:lang w:val="en-US" w:eastAsia="zh-CN"/>
              </w:rPr>
              <w:t>鼓励企业开展余热回收</w:t>
            </w:r>
            <w:r>
              <w:rPr>
                <w:rFonts w:hint="default" w:ascii="Times New Roman" w:hAnsi="Times New Roman" w:eastAsia="仿宋" w:cs="Times New Roman"/>
                <w:bCs/>
                <w:color w:val="auto"/>
                <w:sz w:val="24"/>
                <w:szCs w:val="24"/>
                <w:highlight w:val="none"/>
              </w:rPr>
              <w:t>。到2025年，园区综合能源消费量预测值为43.73万吨标准煤（当量值），单位GDP能耗预测值为0.296吨标准煤/万元。</w:t>
            </w:r>
          </w:p>
          <w:p>
            <w:pPr>
              <w:keepNext w:val="0"/>
              <w:keepLines w:val="0"/>
              <w:suppressLineNumbers w:val="0"/>
              <w:spacing w:before="0" w:beforeAutospacing="0" w:after="0" w:afterAutospacing="0"/>
              <w:ind w:left="0" w:right="0"/>
              <w:jc w:val="left"/>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（4.2）水资源：实行水资源消耗总量和强度双控。到2025年，吉首市、凤凰县用水总量分别不超过1.28亿m3、1.53亿m3，万元工业增加值用水量比2020年分别下降10.01%、10.02%。</w:t>
            </w:r>
          </w:p>
          <w:p>
            <w:pPr>
              <w:keepNext w:val="0"/>
              <w:keepLines w:val="0"/>
              <w:suppressLineNumbers w:val="0"/>
              <w:spacing w:before="0" w:beforeAutospacing="0" w:after="0" w:afterAutospacing="0"/>
              <w:ind w:left="0" w:right="0"/>
              <w:jc w:val="left"/>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（4.3）土地资源：新增建设用地指标优先保障承接产业转移项目建设，必须满足重大产业项目发展需要。优先保障主动进入园区</w:t>
            </w:r>
            <w:r>
              <w:rPr>
                <w:rFonts w:hint="default" w:ascii="Times New Roman" w:hAnsi="Times New Roman" w:eastAsia="仿宋" w:cs="Times New Roman"/>
                <w:bCs/>
                <w:color w:val="auto"/>
                <w:sz w:val="24"/>
                <w:szCs w:val="24"/>
                <w:highlight w:val="none"/>
                <w:lang w:val="en-US" w:eastAsia="zh-CN"/>
              </w:rPr>
              <w:t>高新区</w:t>
            </w:r>
            <w:r>
              <w:rPr>
                <w:rFonts w:hint="default" w:ascii="Times New Roman" w:hAnsi="Times New Roman" w:eastAsia="仿宋" w:cs="Times New Roman"/>
                <w:bCs/>
                <w:color w:val="auto"/>
                <w:sz w:val="24"/>
                <w:szCs w:val="24"/>
                <w:highlight w:val="none"/>
              </w:rPr>
              <w:t>的涉矿加工企业用地。推广“标准地+承诺制”用地模式，工业项目建设用地引导指标为工业用地固定资产投入强度220万元/亩，工业用地地均收入320万元/亩，工业用地地均税收13万元/亩，工业用地容积率1。</w:t>
            </w:r>
          </w:p>
        </w:tc>
        <w:tc>
          <w:tcPr>
            <w:tcW w:w="5503" w:type="dxa"/>
            <w:gridSpan w:val="3"/>
            <w:vAlign w:val="center"/>
          </w:tcPr>
          <w:p>
            <w:pPr>
              <w:keepNext w:val="0"/>
              <w:keepLines w:val="0"/>
              <w:suppressLineNumbers w:val="0"/>
              <w:tabs>
                <w:tab w:val="left" w:pos="1021"/>
              </w:tabs>
              <w:spacing w:before="0" w:beforeAutospacing="0" w:after="0" w:afterAutospacing="0"/>
              <w:ind w:left="0" w:right="0"/>
              <w:jc w:val="center"/>
              <w:rPr>
                <w:rFonts w:hint="default" w:ascii="Times New Roman" w:hAnsi="Times New Roman" w:eastAsia="仿宋" w:cs="Times New Roman"/>
                <w:b/>
                <w:color w:val="auto"/>
                <w:kern w:val="0"/>
                <w:sz w:val="24"/>
                <w:szCs w:val="24"/>
                <w:highlight w:val="none"/>
              </w:rPr>
            </w:pPr>
            <w:r>
              <w:rPr>
                <w:rFonts w:hint="default" w:ascii="Times New Roman" w:hAnsi="Times New Roman" w:eastAsia="仿宋" w:cs="Times New Roman"/>
                <w:i w:val="0"/>
                <w:color w:val="auto"/>
                <w:kern w:val="0"/>
                <w:sz w:val="24"/>
                <w:szCs w:val="24"/>
                <w:highlight w:val="none"/>
                <w:u w:val="none"/>
                <w:lang w:val="en-US" w:eastAsia="zh-CN" w:bidi="ar"/>
              </w:rPr>
              <w:t>园区秉承优化能源结构、提高能源利用效率出发，加强企业管理，推行清洁生产。目前园区能源开发效率基本满足园区单元清单管控要求。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4" w:type="dxa"/>
            <w:gridSpan w:val="8"/>
            <w:vAlign w:val="center"/>
          </w:tcPr>
          <w:p>
            <w:pPr>
              <w:keepNext w:val="0"/>
              <w:keepLines w:val="0"/>
              <w:suppressLineNumbers w:val="0"/>
              <w:spacing w:before="0" w:beforeAutospacing="0" w:after="0" w:afterAutospacing="0"/>
              <w:ind w:left="0" w:right="0"/>
              <w:jc w:val="center"/>
              <w:rPr>
                <w:rFonts w:hint="default" w:ascii="Times New Roman" w:hAnsi="Times New Roman" w:eastAsia="仿宋" w:cs="Times New Roman"/>
                <w:bCs/>
                <w:color w:val="auto"/>
                <w:kern w:val="0"/>
                <w:sz w:val="24"/>
                <w:szCs w:val="24"/>
                <w:highlight w:val="none"/>
                <w:lang w:val="en-US" w:eastAsia="zh-CN"/>
              </w:rPr>
            </w:pPr>
            <w:r>
              <w:rPr>
                <w:rFonts w:hint="default" w:ascii="Times New Roman" w:hAnsi="Times New Roman" w:eastAsia="仿宋" w:cs="Times New Roman"/>
                <w:i w:val="0"/>
                <w:color w:val="auto"/>
                <w:kern w:val="0"/>
                <w:sz w:val="24"/>
                <w:szCs w:val="24"/>
                <w:highlight w:val="none"/>
                <w:u w:val="none"/>
                <w:lang w:val="en-US" w:eastAsia="zh-CN" w:bidi="ar"/>
              </w:rPr>
              <w:t>主要环境问题和重要敏感目标落实情况</w:t>
            </w:r>
          </w:p>
        </w:tc>
        <w:tc>
          <w:tcPr>
            <w:tcW w:w="5503" w:type="dxa"/>
            <w:gridSpan w:val="3"/>
            <w:vAlign w:val="center"/>
          </w:tcPr>
          <w:p>
            <w:pPr>
              <w:keepNext w:val="0"/>
              <w:keepLines w:val="0"/>
              <w:suppressLineNumbers w:val="0"/>
              <w:tabs>
                <w:tab w:val="left" w:pos="1021"/>
              </w:tabs>
              <w:spacing w:before="0" w:beforeAutospacing="0" w:after="0" w:afterAutospacing="0"/>
              <w:ind w:left="0" w:right="0"/>
              <w:jc w:val="center"/>
              <w:rPr>
                <w:rFonts w:hint="default" w:ascii="Times New Roman" w:hAnsi="Times New Roman" w:eastAsia="仿宋" w:cs="Times New Roman"/>
                <w:b w:val="0"/>
                <w:bCs/>
                <w:color w:val="auto"/>
                <w:kern w:val="0"/>
                <w:sz w:val="24"/>
                <w:szCs w:val="24"/>
                <w:highlight w:val="none"/>
                <w:lang w:eastAsia="zh-CN"/>
              </w:rPr>
            </w:pPr>
            <w:r>
              <w:rPr>
                <w:rFonts w:hint="default" w:ascii="Times New Roman" w:hAnsi="Times New Roman" w:eastAsia="仿宋" w:cs="Times New Roman"/>
                <w:i w:val="0"/>
                <w:color w:val="auto"/>
                <w:kern w:val="0"/>
                <w:sz w:val="24"/>
                <w:szCs w:val="24"/>
                <w:highlight w:val="none"/>
                <w:u w:val="none"/>
                <w:lang w:val="en-US" w:eastAsia="zh-CN" w:bidi="ar"/>
              </w:rPr>
              <w:t>我区采取了以下措施：一是对核心区内的工业企业（湘西丰达合金有限公司）、混凝土企业（中天混凝土）等可能产生环境污染的企业启动了选址搬迁程序，同时园区水泥厂（湘西天源建材有限公司）已关停，原有土地退二进三，进行性质变更，发展第三产业。目前湘西丰达合金有限公司正在搬迁，中天混凝土正在进行搬迁前期工作，尚未完成搬迁，企业在产；二是对区内开发项目尤其是重要敏感建筑物周边的项目，严格实施扬尘防治6个100%措施和噪声污染防治的施工要求，同时项目建设时间尽量避开学校、政务中心、医院等单位的高峰期，营造良好的园区生产生活环境。</w:t>
            </w:r>
          </w:p>
        </w:tc>
      </w:tr>
    </w:tbl>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jc w:val="both"/>
        <w:textAlignment w:val="auto"/>
        <w:outlineLvl w:val="9"/>
        <w:rPr>
          <w:rFonts w:hint="eastAsia" w:ascii="Times New Roman" w:hAnsi="Times New Roman" w:eastAsia="楷体_GB2312" w:cs="楷体_GB2312"/>
          <w:b/>
          <w:bCs/>
          <w:color w:val="auto"/>
          <w:sz w:val="32"/>
          <w:szCs w:val="32"/>
          <w:highlight w:val="none"/>
          <w:u w:val="none" w:color="auto"/>
        </w:rPr>
        <w:sectPr>
          <w:footerReference r:id="rId6" w:type="default"/>
          <w:pgSz w:w="16838" w:h="11906" w:orient="landscape"/>
          <w:pgMar w:top="1800" w:right="1440" w:bottom="1800" w:left="1440" w:header="851" w:footer="992" w:gutter="0"/>
          <w:pgNumType w:fmt="numberInDash" w:start="10"/>
          <w:cols w:space="720" w:num="1"/>
          <w:docGrid w:type="lines" w:linePitch="312" w:charSpace="0"/>
        </w:sectPr>
      </w:pP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jc w:val="both"/>
        <w:textAlignment w:val="auto"/>
        <w:outlineLvl w:val="9"/>
        <w:rPr>
          <w:rFonts w:hint="default" w:ascii="Times New Roman" w:hAnsi="Times New Roman" w:eastAsia="仿宋" w:cs="Times New Roman"/>
          <w:b/>
          <w:bCs/>
          <w:color w:val="auto"/>
          <w:sz w:val="32"/>
          <w:szCs w:val="32"/>
          <w:highlight w:val="none"/>
          <w:u w:val="none" w:color="auto"/>
        </w:rPr>
      </w:pPr>
      <w:r>
        <w:rPr>
          <w:rFonts w:hint="default" w:ascii="Times New Roman" w:hAnsi="Times New Roman" w:eastAsia="仿宋" w:cs="Times New Roman"/>
          <w:b/>
          <w:bCs/>
          <w:color w:val="auto"/>
          <w:sz w:val="32"/>
          <w:szCs w:val="32"/>
          <w:highlight w:val="none"/>
          <w:u w:val="none" w:color="auto"/>
        </w:rPr>
        <w:t>（三）水环境管理</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FF0000"/>
          <w:sz w:val="32"/>
          <w:szCs w:val="32"/>
          <w:highlight w:val="none"/>
          <w:u w:val="none" w:color="auto"/>
          <w:lang w:eastAsia="zh-CN"/>
        </w:rPr>
      </w:pPr>
      <w:r>
        <w:rPr>
          <w:rFonts w:hint="default" w:ascii="Times New Roman" w:hAnsi="Times New Roman" w:eastAsia="仿宋" w:cs="Times New Roman"/>
          <w:color w:val="FF0000"/>
          <w:sz w:val="32"/>
          <w:szCs w:val="32"/>
          <w:highlight w:val="none"/>
          <w:u w:val="none" w:color="auto"/>
        </w:rPr>
        <w:t>园区</w:t>
      </w:r>
      <w:r>
        <w:rPr>
          <w:rFonts w:hint="default" w:ascii="Times New Roman" w:hAnsi="Times New Roman" w:eastAsia="仿宋" w:cs="Times New Roman"/>
          <w:color w:val="FF0000"/>
          <w:sz w:val="32"/>
          <w:szCs w:val="32"/>
          <w:highlight w:val="none"/>
          <w:u w:val="none" w:color="auto"/>
          <w:lang w:val="en-US" w:eastAsia="zh-CN"/>
        </w:rPr>
        <w:t>无</w:t>
      </w:r>
      <w:r>
        <w:rPr>
          <w:rFonts w:hint="default" w:ascii="Times New Roman" w:hAnsi="Times New Roman" w:eastAsia="仿宋" w:cs="Times New Roman"/>
          <w:color w:val="FF0000"/>
          <w:sz w:val="32"/>
          <w:szCs w:val="32"/>
          <w:highlight w:val="none"/>
          <w:u w:val="none" w:color="auto"/>
        </w:rPr>
        <w:t>配套</w:t>
      </w:r>
      <w:r>
        <w:rPr>
          <w:rFonts w:hint="default" w:ascii="Times New Roman" w:hAnsi="Times New Roman" w:eastAsia="仿宋" w:cs="Times New Roman"/>
          <w:color w:val="FF0000"/>
          <w:sz w:val="32"/>
          <w:szCs w:val="32"/>
          <w:highlight w:val="none"/>
          <w:u w:val="none" w:color="auto"/>
          <w:lang w:val="en-US" w:eastAsia="zh-CN"/>
        </w:rPr>
        <w:t>的</w:t>
      </w:r>
      <w:r>
        <w:rPr>
          <w:rFonts w:hint="default" w:ascii="Times New Roman" w:hAnsi="Times New Roman" w:eastAsia="仿宋" w:cs="Times New Roman"/>
          <w:color w:val="FF0000"/>
          <w:sz w:val="32"/>
          <w:szCs w:val="32"/>
          <w:highlight w:val="none"/>
          <w:u w:val="none" w:color="auto"/>
        </w:rPr>
        <w:t>集中污水处理设施</w:t>
      </w:r>
      <w:r>
        <w:rPr>
          <w:rFonts w:hint="default" w:ascii="Times New Roman" w:hAnsi="Times New Roman" w:eastAsia="仿宋" w:cs="Times New Roman"/>
          <w:color w:val="FF0000"/>
          <w:sz w:val="32"/>
          <w:szCs w:val="32"/>
          <w:highlight w:val="none"/>
          <w:u w:val="none" w:color="auto"/>
          <w:lang w:eastAsia="zh-CN"/>
        </w:rPr>
        <w:t>，</w:t>
      </w:r>
      <w:r>
        <w:rPr>
          <w:rFonts w:hint="default" w:ascii="Times New Roman" w:hAnsi="Times New Roman" w:eastAsia="仿宋" w:cs="Times New Roman"/>
          <w:color w:val="FF0000"/>
          <w:sz w:val="32"/>
          <w:szCs w:val="32"/>
          <w:highlight w:val="none"/>
          <w:u w:val="none" w:color="auto"/>
          <w:lang w:val="en-US" w:eastAsia="zh-CN"/>
        </w:rPr>
        <w:t>依托的集中污水处理设施1</w:t>
      </w:r>
      <w:r>
        <w:rPr>
          <w:rFonts w:hint="default" w:ascii="Times New Roman" w:hAnsi="Times New Roman" w:eastAsia="仿宋" w:cs="Times New Roman"/>
          <w:color w:val="FF0000"/>
          <w:sz w:val="32"/>
          <w:szCs w:val="32"/>
          <w:highlight w:val="none"/>
          <w:u w:val="none" w:color="auto"/>
        </w:rPr>
        <w:t>个</w:t>
      </w:r>
      <w:r>
        <w:rPr>
          <w:rFonts w:hint="default" w:ascii="Times New Roman" w:hAnsi="Times New Roman" w:eastAsia="仿宋" w:cs="Times New Roman"/>
          <w:color w:val="FF0000"/>
          <w:sz w:val="32"/>
          <w:szCs w:val="32"/>
          <w:highlight w:val="none"/>
          <w:u w:val="none" w:color="auto"/>
          <w:lang w:eastAsia="zh-CN"/>
        </w:rPr>
        <w:t>（依托乾州污水处理厂）</w:t>
      </w:r>
      <w:r>
        <w:rPr>
          <w:rFonts w:hint="default" w:ascii="Times New Roman" w:hAnsi="Times New Roman" w:eastAsia="仿宋" w:cs="Times New Roman"/>
          <w:color w:val="FF0000"/>
          <w:sz w:val="32"/>
          <w:szCs w:val="32"/>
          <w:highlight w:val="none"/>
          <w:u w:val="none" w:color="auto"/>
        </w:rPr>
        <w:t>，园区污水管网覆盖率</w:t>
      </w:r>
      <w:r>
        <w:rPr>
          <w:rFonts w:hint="default" w:ascii="Times New Roman" w:hAnsi="Times New Roman" w:eastAsia="仿宋" w:cs="Times New Roman"/>
          <w:color w:val="FF0000"/>
          <w:sz w:val="32"/>
          <w:szCs w:val="32"/>
          <w:highlight w:val="none"/>
          <w:u w:val="none" w:color="auto"/>
          <w:lang w:val="en-US" w:eastAsia="zh-CN"/>
        </w:rPr>
        <w:t>100%</w:t>
      </w:r>
      <w:r>
        <w:rPr>
          <w:rFonts w:hint="default" w:ascii="Times New Roman" w:hAnsi="Times New Roman" w:eastAsia="仿宋" w:cs="Times New Roman"/>
          <w:color w:val="FF0000"/>
          <w:sz w:val="32"/>
          <w:szCs w:val="32"/>
          <w:highlight w:val="none"/>
          <w:u w:val="none" w:color="auto"/>
        </w:rPr>
        <w:t>，集中污水处理设施名称为</w:t>
      </w:r>
      <w:r>
        <w:rPr>
          <w:rFonts w:hint="default" w:ascii="Times New Roman" w:hAnsi="Times New Roman" w:eastAsia="仿宋" w:cs="Times New Roman"/>
          <w:color w:val="FF0000"/>
          <w:sz w:val="32"/>
          <w:szCs w:val="32"/>
          <w:highlight w:val="none"/>
          <w:u w:val="single" w:color="auto"/>
          <w:lang w:eastAsia="zh-CN"/>
        </w:rPr>
        <w:t>乾州污水处理厂</w:t>
      </w:r>
      <w:r>
        <w:rPr>
          <w:rFonts w:hint="default" w:ascii="Times New Roman" w:hAnsi="Times New Roman" w:eastAsia="仿宋" w:cs="Times New Roman"/>
          <w:color w:val="FF0000"/>
          <w:sz w:val="32"/>
          <w:szCs w:val="32"/>
          <w:highlight w:val="none"/>
          <w:u w:val="none" w:color="auto"/>
        </w:rPr>
        <w:t>，设计处理规模</w:t>
      </w:r>
      <w:r>
        <w:rPr>
          <w:rFonts w:hint="default" w:ascii="Times New Roman" w:hAnsi="Times New Roman" w:eastAsia="仿宋" w:cs="Times New Roman"/>
          <w:color w:val="FF0000"/>
          <w:sz w:val="32"/>
          <w:szCs w:val="32"/>
          <w:highlight w:val="none"/>
          <w:u w:val="none" w:color="auto"/>
          <w:lang w:val="en-US" w:eastAsia="zh-CN"/>
        </w:rPr>
        <w:t>60000</w:t>
      </w:r>
      <w:r>
        <w:rPr>
          <w:rFonts w:hint="default" w:ascii="Times New Roman" w:hAnsi="Times New Roman" w:eastAsia="仿宋" w:cs="Times New Roman"/>
          <w:color w:val="FF0000"/>
          <w:sz w:val="32"/>
          <w:szCs w:val="32"/>
          <w:highlight w:val="none"/>
          <w:u w:val="none" w:color="auto"/>
        </w:rPr>
        <w:t>m³/d，实际处理规模</w:t>
      </w:r>
      <w:r>
        <w:rPr>
          <w:rFonts w:hint="default" w:ascii="Times New Roman" w:hAnsi="Times New Roman" w:eastAsia="仿宋" w:cs="Times New Roman"/>
          <w:color w:val="FF0000"/>
          <w:sz w:val="32"/>
          <w:szCs w:val="32"/>
          <w:highlight w:val="none"/>
          <w:u w:val="none" w:color="auto"/>
          <w:lang w:val="en-US" w:eastAsia="zh-CN"/>
        </w:rPr>
        <w:t>45000</w:t>
      </w:r>
      <w:r>
        <w:rPr>
          <w:rFonts w:hint="default" w:ascii="Times New Roman" w:hAnsi="Times New Roman" w:eastAsia="仿宋" w:cs="Times New Roman"/>
          <w:color w:val="FF0000"/>
          <w:sz w:val="32"/>
          <w:szCs w:val="32"/>
          <w:highlight w:val="none"/>
          <w:u w:val="none" w:color="auto"/>
        </w:rPr>
        <w:t>m³/d，污水处理工艺为</w:t>
      </w:r>
      <w:r>
        <w:rPr>
          <w:rFonts w:hint="default" w:ascii="Times New Roman" w:hAnsi="Times New Roman" w:eastAsia="仿宋" w:cs="Times New Roman"/>
          <w:color w:val="FF0000"/>
          <w:sz w:val="32"/>
          <w:szCs w:val="32"/>
          <w:highlight w:val="none"/>
          <w:u w:val="none" w:color="auto"/>
          <w:lang w:val="en-US" w:eastAsia="zh-CN"/>
        </w:rPr>
        <w:t>SBR工艺</w:t>
      </w:r>
      <w:r>
        <w:rPr>
          <w:rFonts w:hint="default" w:ascii="Times New Roman" w:hAnsi="Times New Roman" w:eastAsia="仿宋" w:cs="Times New Roman"/>
          <w:color w:val="FF0000"/>
          <w:sz w:val="32"/>
          <w:szCs w:val="32"/>
          <w:highlight w:val="none"/>
          <w:u w:val="none" w:color="auto"/>
        </w:rPr>
        <w:t>，在线监测达标率</w:t>
      </w:r>
      <w:r>
        <w:rPr>
          <w:rFonts w:hint="default" w:ascii="Times New Roman" w:hAnsi="Times New Roman" w:eastAsia="仿宋" w:cs="Times New Roman"/>
          <w:color w:val="FF0000"/>
          <w:sz w:val="32"/>
          <w:szCs w:val="32"/>
          <w:highlight w:val="none"/>
          <w:u w:val="none" w:color="auto"/>
          <w:lang w:val="en-US" w:eastAsia="zh-CN"/>
        </w:rPr>
        <w:t>100</w:t>
      </w:r>
      <w:r>
        <w:rPr>
          <w:rFonts w:hint="default" w:ascii="Times New Roman" w:hAnsi="Times New Roman" w:eastAsia="仿宋" w:cs="Times New Roman"/>
          <w:color w:val="FF0000"/>
          <w:sz w:val="32"/>
          <w:szCs w:val="32"/>
          <w:highlight w:val="none"/>
          <w:u w:val="none" w:color="auto"/>
        </w:rPr>
        <w:t>%，园区雨水管网覆盖率</w:t>
      </w:r>
      <w:r>
        <w:rPr>
          <w:rFonts w:hint="default" w:ascii="Times New Roman" w:hAnsi="Times New Roman" w:eastAsia="仿宋" w:cs="Times New Roman"/>
          <w:color w:val="FF0000"/>
          <w:sz w:val="32"/>
          <w:szCs w:val="32"/>
          <w:highlight w:val="none"/>
          <w:u w:val="none" w:color="auto"/>
          <w:lang w:val="en-US" w:eastAsia="zh-CN"/>
        </w:rPr>
        <w:t>100</w:t>
      </w:r>
      <w:r>
        <w:rPr>
          <w:rFonts w:hint="default" w:ascii="Times New Roman" w:hAnsi="Times New Roman" w:eastAsia="仿宋" w:cs="Times New Roman"/>
          <w:color w:val="FF0000"/>
          <w:sz w:val="32"/>
          <w:szCs w:val="32"/>
          <w:highlight w:val="none"/>
          <w:u w:val="none" w:color="auto"/>
        </w:rPr>
        <w:t>%。</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auto"/>
          <w:sz w:val="32"/>
          <w:szCs w:val="32"/>
          <w:highlight w:val="none"/>
          <w:u w:val="none" w:color="auto"/>
        </w:rPr>
      </w:pPr>
      <w:r>
        <w:rPr>
          <w:rFonts w:hint="default" w:ascii="Times New Roman" w:hAnsi="Times New Roman" w:eastAsia="仿宋" w:cs="Times New Roman"/>
          <w:color w:val="auto"/>
          <w:sz w:val="32"/>
          <w:szCs w:val="32"/>
          <w:highlight w:val="none"/>
          <w:u w:val="none" w:color="auto"/>
        </w:rPr>
        <w:t>园区内涉及工业废水外排企业数量</w:t>
      </w:r>
      <w:r>
        <w:rPr>
          <w:rFonts w:hint="eastAsia" w:ascii="Times New Roman" w:hAnsi="Times New Roman" w:eastAsia="仿宋" w:cs="Times New Roman"/>
          <w:color w:val="auto"/>
          <w:sz w:val="32"/>
          <w:szCs w:val="32"/>
          <w:highlight w:val="none"/>
          <w:u w:val="none" w:color="auto"/>
          <w:lang w:val="en-US" w:eastAsia="zh-CN"/>
        </w:rPr>
        <w:t>8</w:t>
      </w:r>
      <w:r>
        <w:rPr>
          <w:rFonts w:hint="default" w:ascii="Times New Roman" w:hAnsi="Times New Roman" w:eastAsia="仿宋" w:cs="Times New Roman"/>
          <w:color w:val="auto"/>
          <w:sz w:val="32"/>
          <w:szCs w:val="32"/>
          <w:highlight w:val="none"/>
          <w:u w:val="none" w:color="auto"/>
        </w:rPr>
        <w:t>个，工业废水总排放量</w:t>
      </w:r>
      <w:r>
        <w:rPr>
          <w:rFonts w:hint="default" w:ascii="Times New Roman" w:hAnsi="Times New Roman" w:eastAsia="仿宋" w:cs="Times New Roman"/>
          <w:color w:val="auto"/>
          <w:sz w:val="32"/>
          <w:szCs w:val="32"/>
          <w:highlight w:val="none"/>
          <w:u w:val="none" w:color="auto"/>
          <w:lang w:eastAsia="zh-CN"/>
        </w:rPr>
        <w:t>约</w:t>
      </w:r>
      <w:r>
        <w:rPr>
          <w:rFonts w:hint="default" w:ascii="Times New Roman" w:hAnsi="Times New Roman" w:eastAsia="仿宋" w:cs="Times New Roman"/>
          <w:color w:val="auto"/>
          <w:sz w:val="32"/>
          <w:szCs w:val="32"/>
          <w:highlight w:val="none"/>
          <w:u w:val="none" w:color="auto"/>
          <w:lang w:val="en-US" w:eastAsia="zh-CN"/>
        </w:rPr>
        <w:t>300</w:t>
      </w:r>
      <w:r>
        <w:rPr>
          <w:rFonts w:hint="default" w:ascii="Times New Roman" w:hAnsi="Times New Roman" w:eastAsia="仿宋" w:cs="Times New Roman"/>
          <w:color w:val="auto"/>
          <w:sz w:val="32"/>
          <w:szCs w:val="32"/>
          <w:highlight w:val="none"/>
          <w:u w:val="none" w:color="auto"/>
        </w:rPr>
        <w:t>m³/d，外排污水纳管企业数量</w:t>
      </w:r>
      <w:r>
        <w:rPr>
          <w:rFonts w:hint="eastAsia" w:ascii="Times New Roman" w:hAnsi="Times New Roman" w:eastAsia="仿宋" w:cs="Times New Roman"/>
          <w:color w:val="auto"/>
          <w:sz w:val="32"/>
          <w:szCs w:val="32"/>
          <w:highlight w:val="none"/>
          <w:u w:val="none" w:color="auto"/>
          <w:lang w:val="en-US" w:eastAsia="zh-CN"/>
        </w:rPr>
        <w:t>0</w:t>
      </w:r>
      <w:r>
        <w:rPr>
          <w:rFonts w:hint="default" w:ascii="Times New Roman" w:hAnsi="Times New Roman" w:eastAsia="仿宋" w:cs="Times New Roman"/>
          <w:color w:val="auto"/>
          <w:sz w:val="32"/>
          <w:szCs w:val="32"/>
          <w:highlight w:val="none"/>
          <w:u w:val="none" w:color="auto"/>
        </w:rPr>
        <w:t>个，污水集中处理比例</w:t>
      </w:r>
      <w:r>
        <w:rPr>
          <w:rFonts w:hint="default" w:ascii="Times New Roman" w:hAnsi="Times New Roman" w:eastAsia="仿宋" w:cs="Times New Roman"/>
          <w:color w:val="auto"/>
          <w:sz w:val="32"/>
          <w:szCs w:val="32"/>
          <w:highlight w:val="none"/>
          <w:u w:val="none" w:color="auto"/>
          <w:lang w:val="en-US" w:eastAsia="zh-CN"/>
        </w:rPr>
        <w:t>100</w:t>
      </w:r>
      <w:r>
        <w:rPr>
          <w:rFonts w:hint="default" w:ascii="Times New Roman" w:hAnsi="Times New Roman" w:eastAsia="仿宋" w:cs="Times New Roman"/>
          <w:color w:val="auto"/>
          <w:sz w:val="32"/>
          <w:szCs w:val="32"/>
          <w:highlight w:val="none"/>
          <w:u w:val="none" w:color="auto"/>
        </w:rPr>
        <w:t>%（按外排水量计），涉一类污染物排放企业</w:t>
      </w:r>
      <w:r>
        <w:rPr>
          <w:rFonts w:hint="eastAsia" w:ascii="Times New Roman" w:hAnsi="Times New Roman" w:eastAsia="仿宋" w:cs="Times New Roman"/>
          <w:color w:val="auto"/>
          <w:sz w:val="32"/>
          <w:szCs w:val="32"/>
          <w:highlight w:val="none"/>
          <w:u w:val="none" w:color="auto"/>
          <w:lang w:val="en-US" w:eastAsia="zh-CN"/>
        </w:rPr>
        <w:t>0</w:t>
      </w:r>
      <w:r>
        <w:rPr>
          <w:rFonts w:hint="default" w:ascii="Times New Roman" w:hAnsi="Times New Roman" w:eastAsia="仿宋" w:cs="Times New Roman"/>
          <w:color w:val="auto"/>
          <w:sz w:val="32"/>
          <w:szCs w:val="32"/>
          <w:highlight w:val="none"/>
          <w:u w:val="none" w:color="auto"/>
          <w:lang w:val="en-US" w:eastAsia="zh-CN"/>
        </w:rPr>
        <w:t>家（</w:t>
      </w:r>
      <w:r>
        <w:rPr>
          <w:rFonts w:hint="eastAsia" w:ascii="Times New Roman" w:hAnsi="Times New Roman" w:eastAsia="仿宋" w:cs="Times New Roman"/>
          <w:color w:val="auto"/>
          <w:sz w:val="32"/>
          <w:szCs w:val="32"/>
          <w:highlight w:val="none"/>
          <w:u w:val="none" w:color="auto"/>
          <w:lang w:val="en-US" w:eastAsia="zh-CN"/>
        </w:rPr>
        <w:t>涉及企业为</w:t>
      </w:r>
      <w:r>
        <w:rPr>
          <w:rFonts w:hint="default" w:ascii="Times New Roman" w:hAnsi="Times New Roman" w:eastAsia="仿宋" w:cs="Times New Roman"/>
          <w:color w:val="auto"/>
          <w:sz w:val="32"/>
          <w:szCs w:val="32"/>
          <w:highlight w:val="none"/>
          <w:u w:val="none" w:color="auto"/>
          <w:lang w:val="en-US" w:eastAsia="zh-CN"/>
        </w:rPr>
        <w:t>湖南盛强力新材料科技有限公司</w:t>
      </w:r>
      <w:r>
        <w:rPr>
          <w:rFonts w:hint="eastAsia" w:ascii="Times New Roman" w:hAnsi="Times New Roman" w:eastAsia="仿宋" w:cs="Times New Roman"/>
          <w:color w:val="auto"/>
          <w:sz w:val="32"/>
          <w:szCs w:val="32"/>
          <w:highlight w:val="none"/>
          <w:u w:val="none" w:color="auto"/>
          <w:lang w:val="en-US" w:eastAsia="zh-CN"/>
        </w:rPr>
        <w:t>，</w:t>
      </w:r>
      <w:r>
        <w:rPr>
          <w:rFonts w:hint="default" w:ascii="Times New Roman" w:hAnsi="Times New Roman" w:eastAsia="仿宋" w:cs="Times New Roman"/>
          <w:color w:val="auto"/>
          <w:sz w:val="32"/>
          <w:szCs w:val="32"/>
          <w:highlight w:val="none"/>
          <w:u w:val="none" w:color="auto"/>
          <w:lang w:val="en-US" w:eastAsia="zh-CN"/>
        </w:rPr>
        <w:t>目前该企业已</w:t>
      </w:r>
      <w:r>
        <w:rPr>
          <w:rFonts w:hint="eastAsia" w:ascii="Times New Roman" w:hAnsi="Times New Roman" w:eastAsia="仿宋" w:cs="Times New Roman"/>
          <w:color w:val="auto"/>
          <w:sz w:val="32"/>
          <w:szCs w:val="32"/>
          <w:highlight w:val="none"/>
          <w:u w:val="none" w:color="auto"/>
          <w:lang w:val="en-US" w:eastAsia="zh-CN"/>
        </w:rPr>
        <w:t>关闭</w:t>
      </w:r>
      <w:r>
        <w:rPr>
          <w:rFonts w:hint="default" w:ascii="Times New Roman" w:hAnsi="Times New Roman" w:eastAsia="仿宋" w:cs="Times New Roman"/>
          <w:color w:val="auto"/>
          <w:sz w:val="32"/>
          <w:szCs w:val="32"/>
          <w:highlight w:val="none"/>
          <w:u w:val="none" w:color="auto"/>
          <w:lang w:val="en-US" w:eastAsia="zh-CN"/>
        </w:rPr>
        <w:t>）</w:t>
      </w:r>
      <w:r>
        <w:rPr>
          <w:rFonts w:hint="default" w:ascii="Times New Roman" w:hAnsi="Times New Roman" w:eastAsia="仿宋" w:cs="Times New Roman"/>
          <w:color w:val="auto"/>
          <w:sz w:val="32"/>
          <w:szCs w:val="32"/>
          <w:highlight w:val="none"/>
          <w:u w:val="none" w:color="auto"/>
        </w:rPr>
        <w:t>。</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auto"/>
          <w:sz w:val="32"/>
          <w:szCs w:val="32"/>
          <w:highlight w:val="none"/>
          <w:u w:val="none" w:color="auto"/>
        </w:rPr>
      </w:pPr>
      <w:r>
        <w:rPr>
          <w:rFonts w:hint="eastAsia" w:ascii="Times New Roman" w:hAnsi="Times New Roman" w:eastAsia="仿宋" w:cs="Times New Roman"/>
          <w:color w:val="auto"/>
          <w:sz w:val="32"/>
          <w:szCs w:val="32"/>
          <w:highlight w:val="none"/>
          <w:u w:val="none" w:color="auto"/>
          <w:lang w:eastAsia="zh-CN"/>
        </w:rPr>
        <w:t>乾州</w:t>
      </w:r>
      <w:r>
        <w:rPr>
          <w:rFonts w:hint="eastAsia" w:ascii="Times New Roman" w:hAnsi="Times New Roman" w:eastAsia="仿宋" w:cs="Times New Roman"/>
          <w:color w:val="auto"/>
          <w:sz w:val="32"/>
          <w:szCs w:val="32"/>
          <w:highlight w:val="none"/>
          <w:u w:val="none" w:color="auto"/>
          <w:lang w:val="en-US" w:eastAsia="zh-CN"/>
        </w:rPr>
        <w:t>污水处理厂</w:t>
      </w:r>
      <w:r>
        <w:rPr>
          <w:rFonts w:hint="default" w:ascii="Times New Roman" w:hAnsi="Times New Roman" w:eastAsia="仿宋" w:cs="Times New Roman"/>
          <w:color w:val="auto"/>
          <w:sz w:val="32"/>
          <w:szCs w:val="32"/>
          <w:highlight w:val="none"/>
          <w:u w:val="none" w:color="auto"/>
        </w:rPr>
        <w:t>排污口下游最近的地表水水质管控断面名称</w:t>
      </w:r>
      <w:r>
        <w:rPr>
          <w:rFonts w:hint="default" w:ascii="Times New Roman" w:hAnsi="Times New Roman" w:eastAsia="仿宋" w:cs="Times New Roman"/>
          <w:color w:val="auto"/>
          <w:sz w:val="32"/>
          <w:szCs w:val="32"/>
          <w:highlight w:val="none"/>
          <w:u w:val="single" w:color="auto"/>
        </w:rPr>
        <w:t>万溶江</w:t>
      </w:r>
      <w:r>
        <w:rPr>
          <w:rFonts w:hint="default" w:ascii="Times New Roman" w:hAnsi="Times New Roman" w:eastAsia="仿宋" w:cs="Times New Roman"/>
          <w:color w:val="auto"/>
          <w:sz w:val="32"/>
          <w:szCs w:val="32"/>
          <w:highlight w:val="none"/>
          <w:u w:val="single" w:color="auto"/>
          <w:lang w:eastAsia="zh-CN"/>
        </w:rPr>
        <w:t>张排</w:t>
      </w:r>
      <w:r>
        <w:rPr>
          <w:rFonts w:hint="default" w:ascii="Times New Roman" w:hAnsi="Times New Roman" w:eastAsia="仿宋" w:cs="Times New Roman"/>
          <w:color w:val="auto"/>
          <w:sz w:val="32"/>
          <w:szCs w:val="32"/>
          <w:highlight w:val="none"/>
          <w:u w:val="single" w:color="auto"/>
        </w:rPr>
        <w:t>断面</w:t>
      </w:r>
      <w:r>
        <w:rPr>
          <w:rFonts w:hint="default" w:ascii="Times New Roman" w:hAnsi="Times New Roman" w:eastAsia="仿宋" w:cs="Times New Roman"/>
          <w:color w:val="auto"/>
          <w:sz w:val="32"/>
          <w:szCs w:val="32"/>
          <w:highlight w:val="none"/>
          <w:u w:val="none" w:color="auto"/>
        </w:rPr>
        <w:t>，水功能区划</w:t>
      </w:r>
      <w:r>
        <w:rPr>
          <w:rFonts w:hint="default" w:ascii="Times New Roman" w:hAnsi="Times New Roman" w:eastAsia="仿宋" w:cs="Times New Roman"/>
          <w:color w:val="auto"/>
          <w:sz w:val="32"/>
          <w:szCs w:val="32"/>
          <w:highlight w:val="none"/>
          <w:u w:val="single" w:color="auto"/>
        </w:rPr>
        <w:t>Ⅲ</w:t>
      </w:r>
      <w:r>
        <w:rPr>
          <w:rFonts w:hint="default" w:ascii="Times New Roman" w:hAnsi="Times New Roman" w:eastAsia="仿宋" w:cs="Times New Roman"/>
          <w:color w:val="auto"/>
          <w:sz w:val="32"/>
          <w:szCs w:val="32"/>
          <w:highlight w:val="none"/>
          <w:u w:val="none" w:color="auto"/>
        </w:rPr>
        <w:t>类，监测达标率</w:t>
      </w:r>
      <w:r>
        <w:rPr>
          <w:rFonts w:hint="default" w:ascii="Times New Roman" w:hAnsi="Times New Roman" w:eastAsia="仿宋" w:cs="Times New Roman"/>
          <w:color w:val="auto"/>
          <w:sz w:val="32"/>
          <w:szCs w:val="32"/>
          <w:highlight w:val="none"/>
          <w:u w:val="none" w:color="auto"/>
          <w:lang w:val="en-US" w:eastAsia="zh-CN"/>
        </w:rPr>
        <w:t>100</w:t>
      </w:r>
      <w:r>
        <w:rPr>
          <w:rFonts w:hint="default" w:ascii="Times New Roman" w:hAnsi="Times New Roman" w:eastAsia="仿宋" w:cs="Times New Roman"/>
          <w:color w:val="auto"/>
          <w:sz w:val="32"/>
          <w:szCs w:val="32"/>
          <w:highlight w:val="none"/>
          <w:u w:val="none" w:color="auto"/>
        </w:rPr>
        <w:t>%，超标因子</w:t>
      </w:r>
      <w:r>
        <w:rPr>
          <w:rFonts w:hint="default" w:ascii="Times New Roman" w:hAnsi="Times New Roman" w:eastAsia="仿宋" w:cs="Times New Roman"/>
          <w:color w:val="auto"/>
          <w:sz w:val="32"/>
          <w:szCs w:val="32"/>
          <w:highlight w:val="none"/>
          <w:u w:val="none" w:color="auto"/>
          <w:lang w:eastAsia="zh-CN"/>
        </w:rPr>
        <w:t>无</w:t>
      </w:r>
      <w:r>
        <w:rPr>
          <w:rFonts w:hint="default" w:ascii="Times New Roman" w:hAnsi="Times New Roman" w:eastAsia="仿宋" w:cs="Times New Roman"/>
          <w:color w:val="auto"/>
          <w:sz w:val="32"/>
          <w:szCs w:val="32"/>
          <w:highlight w:val="none"/>
          <w:u w:val="none" w:color="auto"/>
        </w:rPr>
        <w:t>，最大超标倍数</w:t>
      </w:r>
      <w:r>
        <w:rPr>
          <w:rFonts w:hint="default" w:ascii="Times New Roman" w:hAnsi="Times New Roman" w:eastAsia="仿宋" w:cs="Times New Roman"/>
          <w:color w:val="auto"/>
          <w:sz w:val="32"/>
          <w:szCs w:val="32"/>
          <w:highlight w:val="none"/>
          <w:u w:val="none" w:color="auto"/>
          <w:lang w:val="en-US" w:eastAsia="zh-CN"/>
        </w:rPr>
        <w:t>0</w:t>
      </w:r>
      <w:r>
        <w:rPr>
          <w:rFonts w:hint="default" w:ascii="Times New Roman" w:hAnsi="Times New Roman" w:eastAsia="仿宋" w:cs="Times New Roman"/>
          <w:color w:val="auto"/>
          <w:sz w:val="32"/>
          <w:szCs w:val="32"/>
          <w:highlight w:val="none"/>
          <w:u w:val="none" w:color="auto"/>
        </w:rPr>
        <w:t>倍。</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auto"/>
          <w:sz w:val="32"/>
          <w:szCs w:val="32"/>
          <w:highlight w:val="none"/>
          <w:u w:val="none" w:color="auto"/>
        </w:rPr>
      </w:pPr>
      <w:r>
        <w:rPr>
          <w:rFonts w:hint="default" w:ascii="Times New Roman" w:hAnsi="Times New Roman" w:eastAsia="仿宋" w:cs="Times New Roman"/>
          <w:color w:val="auto"/>
          <w:sz w:val="32"/>
          <w:szCs w:val="32"/>
          <w:highlight w:val="none"/>
          <w:u w:val="none" w:color="auto"/>
          <w:lang w:eastAsia="zh-CN"/>
        </w:rPr>
        <w:t>园区不涉及</w:t>
      </w:r>
      <w:r>
        <w:rPr>
          <w:rFonts w:hint="default" w:ascii="Times New Roman" w:hAnsi="Times New Roman" w:eastAsia="仿宋" w:cs="Times New Roman"/>
          <w:color w:val="auto"/>
          <w:sz w:val="32"/>
          <w:szCs w:val="32"/>
          <w:highlight w:val="none"/>
          <w:u w:val="none" w:color="auto"/>
        </w:rPr>
        <w:t>“双源”地下水</w:t>
      </w:r>
      <w:r>
        <w:rPr>
          <w:rFonts w:hint="default" w:ascii="Times New Roman" w:hAnsi="Times New Roman" w:eastAsia="仿宋" w:cs="Times New Roman"/>
          <w:color w:val="auto"/>
          <w:sz w:val="32"/>
          <w:szCs w:val="32"/>
          <w:highlight w:val="none"/>
          <w:u w:val="none" w:color="auto"/>
          <w:lang w:eastAsia="zh-CN"/>
        </w:rPr>
        <w:t>，故其</w:t>
      </w:r>
      <w:r>
        <w:rPr>
          <w:rFonts w:hint="default" w:ascii="Times New Roman" w:hAnsi="Times New Roman" w:eastAsia="仿宋" w:cs="Times New Roman"/>
          <w:color w:val="auto"/>
          <w:sz w:val="32"/>
          <w:szCs w:val="32"/>
          <w:highlight w:val="none"/>
          <w:u w:val="none" w:color="auto"/>
        </w:rPr>
        <w:t>监测建设情况及监测结果</w:t>
      </w:r>
      <w:r>
        <w:rPr>
          <w:rFonts w:hint="default" w:ascii="Times New Roman" w:hAnsi="Times New Roman" w:eastAsia="仿宋" w:cs="Times New Roman"/>
          <w:color w:val="auto"/>
          <w:sz w:val="32"/>
          <w:szCs w:val="32"/>
          <w:highlight w:val="none"/>
          <w:u w:val="none" w:color="auto"/>
          <w:lang w:eastAsia="zh-CN"/>
        </w:rPr>
        <w:t>不</w:t>
      </w:r>
      <w:r>
        <w:rPr>
          <w:rFonts w:hint="default" w:ascii="Times New Roman" w:hAnsi="Times New Roman" w:eastAsia="仿宋" w:cs="Times New Roman"/>
          <w:color w:val="auto"/>
          <w:sz w:val="32"/>
          <w:szCs w:val="32"/>
          <w:highlight w:val="none"/>
          <w:u w:val="none" w:color="auto"/>
        </w:rPr>
        <w:t>自评。</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auto"/>
          <w:sz w:val="32"/>
          <w:szCs w:val="32"/>
          <w:highlight w:val="none"/>
          <w:u w:val="none" w:color="auto"/>
        </w:rPr>
      </w:pPr>
      <w:r>
        <w:rPr>
          <w:rFonts w:hint="default" w:ascii="Times New Roman" w:hAnsi="Times New Roman" w:eastAsia="仿宋" w:cs="Times New Roman"/>
          <w:color w:val="auto"/>
          <w:sz w:val="32"/>
          <w:szCs w:val="32"/>
          <w:highlight w:val="none"/>
          <w:u w:val="none" w:color="auto"/>
        </w:rPr>
        <w:t>园区内涉及黑臭水体数量</w:t>
      </w:r>
      <w:r>
        <w:rPr>
          <w:rFonts w:hint="default" w:ascii="Times New Roman" w:hAnsi="Times New Roman" w:eastAsia="仿宋" w:cs="Times New Roman"/>
          <w:color w:val="auto"/>
          <w:sz w:val="32"/>
          <w:szCs w:val="32"/>
          <w:highlight w:val="none"/>
          <w:u w:val="none" w:color="auto"/>
          <w:lang w:val="en-US" w:eastAsia="zh-CN"/>
        </w:rPr>
        <w:t>0</w:t>
      </w:r>
      <w:r>
        <w:rPr>
          <w:rFonts w:hint="default" w:ascii="Times New Roman" w:hAnsi="Times New Roman" w:eastAsia="仿宋" w:cs="Times New Roman"/>
          <w:color w:val="auto"/>
          <w:sz w:val="32"/>
          <w:szCs w:val="32"/>
          <w:highlight w:val="none"/>
          <w:u w:val="none" w:color="auto"/>
        </w:rPr>
        <w:t>个，已完成整治</w:t>
      </w:r>
      <w:r>
        <w:rPr>
          <w:rFonts w:hint="default" w:ascii="Times New Roman" w:hAnsi="Times New Roman" w:eastAsia="仿宋" w:cs="Times New Roman"/>
          <w:color w:val="auto"/>
          <w:sz w:val="32"/>
          <w:szCs w:val="32"/>
          <w:highlight w:val="none"/>
          <w:u w:val="none" w:color="auto"/>
          <w:lang w:val="en-US" w:eastAsia="zh-CN"/>
        </w:rPr>
        <w:t>0</w:t>
      </w:r>
      <w:r>
        <w:rPr>
          <w:rFonts w:hint="default" w:ascii="Times New Roman" w:hAnsi="Times New Roman" w:eastAsia="仿宋" w:cs="Times New Roman"/>
          <w:color w:val="auto"/>
          <w:sz w:val="32"/>
          <w:szCs w:val="32"/>
          <w:highlight w:val="none"/>
          <w:u w:val="none" w:color="auto"/>
        </w:rPr>
        <w:t>个，未开工</w:t>
      </w:r>
      <w:r>
        <w:rPr>
          <w:rFonts w:hint="default" w:ascii="Times New Roman" w:hAnsi="Times New Roman" w:eastAsia="仿宋" w:cs="Times New Roman"/>
          <w:color w:val="auto"/>
          <w:sz w:val="32"/>
          <w:szCs w:val="32"/>
          <w:highlight w:val="none"/>
          <w:u w:val="none" w:color="auto"/>
          <w:lang w:val="en-US" w:eastAsia="zh-CN"/>
        </w:rPr>
        <w:t>0</w:t>
      </w:r>
      <w:r>
        <w:rPr>
          <w:rFonts w:hint="default" w:ascii="Times New Roman" w:hAnsi="Times New Roman" w:eastAsia="仿宋" w:cs="Times New Roman"/>
          <w:color w:val="auto"/>
          <w:sz w:val="32"/>
          <w:szCs w:val="32"/>
          <w:highlight w:val="none"/>
          <w:u w:val="none" w:color="auto"/>
        </w:rPr>
        <w:t>个，修复中的</w:t>
      </w:r>
      <w:r>
        <w:rPr>
          <w:rFonts w:hint="default" w:ascii="Times New Roman" w:hAnsi="Times New Roman" w:eastAsia="仿宋" w:cs="Times New Roman"/>
          <w:color w:val="auto"/>
          <w:sz w:val="32"/>
          <w:szCs w:val="32"/>
          <w:highlight w:val="none"/>
          <w:u w:val="none" w:color="auto"/>
          <w:lang w:val="en-US" w:eastAsia="zh-CN"/>
        </w:rPr>
        <w:t>0</w:t>
      </w:r>
      <w:r>
        <w:rPr>
          <w:rFonts w:hint="default" w:ascii="Times New Roman" w:hAnsi="Times New Roman" w:eastAsia="仿宋" w:cs="Times New Roman"/>
          <w:color w:val="auto"/>
          <w:sz w:val="32"/>
          <w:szCs w:val="32"/>
          <w:highlight w:val="none"/>
          <w:u w:val="none" w:color="auto"/>
        </w:rPr>
        <w:t>个。</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auto"/>
          <w:sz w:val="32"/>
          <w:szCs w:val="32"/>
          <w:highlight w:val="none"/>
          <w:u w:val="none" w:color="auto"/>
        </w:rPr>
      </w:pPr>
      <w:r>
        <w:rPr>
          <w:rFonts w:hint="default" w:ascii="Times New Roman" w:hAnsi="Times New Roman" w:eastAsia="仿宋" w:cs="Times New Roman"/>
          <w:color w:val="auto"/>
          <w:sz w:val="32"/>
          <w:szCs w:val="32"/>
          <w:highlight w:val="none"/>
          <w:u w:val="none" w:color="auto"/>
        </w:rPr>
        <w:t>（四）大气环境管理</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auto"/>
          <w:sz w:val="32"/>
          <w:szCs w:val="32"/>
          <w:highlight w:val="none"/>
          <w:u w:val="none" w:color="auto"/>
          <w:lang w:val="en-US" w:eastAsia="zh-CN"/>
        </w:rPr>
      </w:pPr>
      <w:r>
        <w:rPr>
          <w:rFonts w:hint="default" w:ascii="Times New Roman" w:hAnsi="Times New Roman" w:eastAsia="仿宋" w:cs="Times New Roman"/>
          <w:color w:val="auto"/>
          <w:sz w:val="32"/>
          <w:szCs w:val="32"/>
          <w:highlight w:val="none"/>
          <w:u w:val="none" w:color="auto"/>
        </w:rPr>
        <w:t>园区内涉及工业废气外排企业数量</w:t>
      </w:r>
      <w:r>
        <w:rPr>
          <w:rFonts w:hint="default" w:ascii="Times New Roman" w:hAnsi="Times New Roman" w:eastAsia="仿宋" w:cs="Times New Roman"/>
          <w:color w:val="auto"/>
          <w:sz w:val="32"/>
          <w:szCs w:val="32"/>
          <w:highlight w:val="none"/>
          <w:u w:val="none" w:color="auto"/>
          <w:lang w:val="en-US" w:eastAsia="zh-CN"/>
        </w:rPr>
        <w:t>2</w:t>
      </w:r>
      <w:r>
        <w:rPr>
          <w:rFonts w:hint="eastAsia" w:ascii="Times New Roman" w:hAnsi="Times New Roman" w:eastAsia="仿宋" w:cs="Times New Roman"/>
          <w:color w:val="auto"/>
          <w:sz w:val="32"/>
          <w:szCs w:val="32"/>
          <w:highlight w:val="none"/>
          <w:u w:val="none" w:color="auto"/>
          <w:lang w:val="en-US" w:eastAsia="zh-CN"/>
        </w:rPr>
        <w:t>8</w:t>
      </w:r>
      <w:r>
        <w:rPr>
          <w:rFonts w:hint="default" w:ascii="Times New Roman" w:hAnsi="Times New Roman" w:eastAsia="仿宋" w:cs="Times New Roman"/>
          <w:color w:val="auto"/>
          <w:sz w:val="32"/>
          <w:szCs w:val="32"/>
          <w:highlight w:val="none"/>
          <w:u w:val="none" w:color="auto"/>
        </w:rPr>
        <w:t>个，大气质量监测达标率</w:t>
      </w:r>
      <w:r>
        <w:rPr>
          <w:rFonts w:hint="default" w:ascii="Times New Roman" w:hAnsi="Times New Roman" w:eastAsia="仿宋" w:cs="Times New Roman"/>
          <w:color w:val="auto"/>
          <w:sz w:val="32"/>
          <w:szCs w:val="32"/>
          <w:highlight w:val="none"/>
          <w:u w:val="none" w:color="auto"/>
          <w:lang w:val="en-US" w:eastAsia="zh-CN"/>
        </w:rPr>
        <w:t>100</w:t>
      </w:r>
      <w:r>
        <w:rPr>
          <w:rFonts w:hint="default" w:ascii="Times New Roman" w:hAnsi="Times New Roman" w:eastAsia="仿宋" w:cs="Times New Roman"/>
          <w:color w:val="auto"/>
          <w:sz w:val="32"/>
          <w:szCs w:val="32"/>
          <w:highlight w:val="none"/>
          <w:u w:val="none" w:color="auto"/>
        </w:rPr>
        <w:t>%，</w:t>
      </w:r>
      <w:r>
        <w:rPr>
          <w:rFonts w:hint="default" w:ascii="Times New Roman" w:hAnsi="Times New Roman" w:eastAsia="仿宋" w:cs="Times New Roman"/>
          <w:color w:val="auto"/>
          <w:sz w:val="32"/>
          <w:szCs w:val="32"/>
          <w:highlight w:val="none"/>
          <w:u w:val="none" w:color="auto"/>
          <w:lang w:eastAsia="zh-CN"/>
        </w:rPr>
        <w:t>无</w:t>
      </w:r>
      <w:r>
        <w:rPr>
          <w:rFonts w:hint="default" w:ascii="Times New Roman" w:hAnsi="Times New Roman" w:eastAsia="仿宋" w:cs="Times New Roman"/>
          <w:color w:val="auto"/>
          <w:sz w:val="32"/>
          <w:szCs w:val="32"/>
          <w:highlight w:val="none"/>
          <w:u w:val="none" w:color="auto"/>
        </w:rPr>
        <w:t>超标因子，最大超标倍数</w:t>
      </w:r>
      <w:r>
        <w:rPr>
          <w:rFonts w:hint="default" w:ascii="Times New Roman" w:hAnsi="Times New Roman" w:eastAsia="仿宋" w:cs="Times New Roman"/>
          <w:color w:val="auto"/>
          <w:sz w:val="32"/>
          <w:szCs w:val="32"/>
          <w:highlight w:val="none"/>
          <w:u w:val="none" w:color="auto"/>
          <w:lang w:val="en-US" w:eastAsia="zh-CN"/>
        </w:rPr>
        <w:t>0</w:t>
      </w:r>
      <w:r>
        <w:rPr>
          <w:rFonts w:hint="default" w:ascii="Times New Roman" w:hAnsi="Times New Roman" w:eastAsia="仿宋" w:cs="Times New Roman"/>
          <w:color w:val="auto"/>
          <w:sz w:val="32"/>
          <w:szCs w:val="32"/>
          <w:highlight w:val="none"/>
          <w:u w:val="none" w:color="auto"/>
        </w:rPr>
        <w:t>倍。</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auto"/>
          <w:sz w:val="32"/>
          <w:szCs w:val="32"/>
          <w:highlight w:val="none"/>
          <w:u w:val="none" w:color="auto"/>
        </w:rPr>
      </w:pPr>
      <w:r>
        <w:rPr>
          <w:rFonts w:hint="default" w:ascii="Times New Roman" w:hAnsi="Times New Roman" w:eastAsia="仿宋" w:cs="Times New Roman"/>
          <w:color w:val="auto"/>
          <w:sz w:val="32"/>
          <w:szCs w:val="32"/>
          <w:highlight w:val="none"/>
          <w:u w:val="none" w:color="auto"/>
        </w:rPr>
        <w:t>园区</w:t>
      </w:r>
      <w:r>
        <w:rPr>
          <w:rFonts w:hint="default" w:ascii="Times New Roman" w:hAnsi="Times New Roman" w:eastAsia="仿宋" w:cs="Times New Roman"/>
          <w:color w:val="auto"/>
          <w:sz w:val="32"/>
          <w:szCs w:val="32"/>
          <w:highlight w:val="none"/>
          <w:u w:val="none" w:color="auto"/>
          <w:lang w:eastAsia="zh-CN"/>
        </w:rPr>
        <w:t>小微站布点</w:t>
      </w:r>
      <w:r>
        <w:rPr>
          <w:rFonts w:hint="default" w:ascii="Times New Roman" w:hAnsi="Times New Roman" w:eastAsia="仿宋" w:cs="Times New Roman"/>
          <w:color w:val="auto"/>
          <w:sz w:val="32"/>
          <w:szCs w:val="32"/>
          <w:highlight w:val="none"/>
          <w:u w:val="none" w:color="auto"/>
          <w:lang w:val="en-US" w:eastAsia="zh-CN"/>
        </w:rPr>
        <w:t>共2个，空气质量良好。</w:t>
      </w:r>
    </w:p>
    <w:p>
      <w:pPr>
        <w:pStyle w:val="14"/>
        <w:keepNext w:val="0"/>
        <w:keepLines w:val="0"/>
        <w:pageBreakBefore w:val="0"/>
        <w:widowControl w:val="0"/>
        <w:kinsoku/>
        <w:wordWrap/>
        <w:overflowPunct/>
        <w:topLinePunct w:val="0"/>
        <w:autoSpaceDE/>
        <w:autoSpaceDN/>
        <w:bidi w:val="0"/>
        <w:adjustRightInd/>
        <w:snapToGrid w:val="0"/>
        <w:spacing w:line="560" w:lineRule="exact"/>
        <w:ind w:left="0" w:leftChars="0" w:firstLine="643"/>
        <w:jc w:val="both"/>
        <w:textAlignment w:val="auto"/>
        <w:outlineLvl w:val="9"/>
        <w:rPr>
          <w:rFonts w:hint="default" w:ascii="Times New Roman" w:hAnsi="Times New Roman" w:eastAsia="仿宋" w:cs="Times New Roman"/>
          <w:color w:val="auto"/>
          <w:sz w:val="32"/>
          <w:szCs w:val="32"/>
          <w:highlight w:val="none"/>
          <w:u w:val="none" w:color="auto"/>
        </w:rPr>
      </w:pPr>
      <w:r>
        <w:rPr>
          <w:rFonts w:hint="default" w:ascii="Times New Roman" w:hAnsi="Times New Roman" w:eastAsia="仿宋" w:cs="Times New Roman"/>
          <w:color w:val="auto"/>
          <w:sz w:val="32"/>
          <w:szCs w:val="32"/>
          <w:highlight w:val="none"/>
          <w:u w:val="none" w:color="auto"/>
        </w:rPr>
        <w:t>（五）土壤环境管理</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auto"/>
          <w:sz w:val="32"/>
          <w:szCs w:val="32"/>
          <w:highlight w:val="none"/>
          <w:u w:val="none" w:color="auto"/>
          <w:lang w:eastAsia="zh-CN"/>
        </w:rPr>
      </w:pPr>
      <w:r>
        <w:rPr>
          <w:rFonts w:hint="default" w:ascii="Times New Roman" w:hAnsi="Times New Roman" w:eastAsia="仿宋" w:cs="Times New Roman"/>
          <w:color w:val="auto"/>
          <w:sz w:val="32"/>
          <w:szCs w:val="32"/>
          <w:highlight w:val="none"/>
          <w:u w:val="none" w:color="auto"/>
        </w:rPr>
        <w:t>土壤环境质量监测达标率</w:t>
      </w:r>
      <w:r>
        <w:rPr>
          <w:rFonts w:hint="default" w:ascii="Times New Roman" w:hAnsi="Times New Roman" w:eastAsia="仿宋" w:cs="Times New Roman"/>
          <w:color w:val="auto"/>
          <w:sz w:val="32"/>
          <w:szCs w:val="32"/>
          <w:highlight w:val="none"/>
          <w:u w:val="single" w:color="auto"/>
          <w:lang w:val="en-US" w:eastAsia="zh-CN"/>
        </w:rPr>
        <w:t>100</w:t>
      </w:r>
      <w:r>
        <w:rPr>
          <w:rFonts w:hint="default" w:ascii="Times New Roman" w:hAnsi="Times New Roman" w:eastAsia="仿宋" w:cs="Times New Roman"/>
          <w:color w:val="auto"/>
          <w:sz w:val="32"/>
          <w:szCs w:val="32"/>
          <w:highlight w:val="none"/>
          <w:u w:val="none" w:color="auto"/>
        </w:rPr>
        <w:t>%，超标因子</w:t>
      </w:r>
      <w:r>
        <w:rPr>
          <w:rFonts w:hint="default" w:ascii="Times New Roman" w:hAnsi="Times New Roman" w:eastAsia="仿宋" w:cs="Times New Roman"/>
          <w:color w:val="auto"/>
          <w:sz w:val="32"/>
          <w:szCs w:val="32"/>
          <w:highlight w:val="none"/>
          <w:u w:val="single" w:color="auto"/>
        </w:rPr>
        <w:t xml:space="preserve"> </w:t>
      </w:r>
      <w:r>
        <w:rPr>
          <w:rFonts w:hint="default" w:ascii="Times New Roman" w:hAnsi="Times New Roman" w:eastAsia="仿宋" w:cs="Times New Roman"/>
          <w:color w:val="auto"/>
          <w:sz w:val="32"/>
          <w:szCs w:val="32"/>
          <w:highlight w:val="none"/>
          <w:u w:val="single" w:color="auto"/>
          <w:lang w:val="en-US" w:eastAsia="zh-CN"/>
        </w:rPr>
        <w:t>无</w:t>
      </w:r>
      <w:r>
        <w:rPr>
          <w:rFonts w:hint="default" w:ascii="Times New Roman" w:hAnsi="Times New Roman" w:eastAsia="仿宋" w:cs="Times New Roman"/>
          <w:color w:val="auto"/>
          <w:sz w:val="32"/>
          <w:szCs w:val="32"/>
          <w:highlight w:val="none"/>
          <w:u w:val="single" w:color="auto"/>
        </w:rPr>
        <w:t xml:space="preserve"> </w:t>
      </w:r>
      <w:r>
        <w:rPr>
          <w:rFonts w:hint="default" w:ascii="Times New Roman" w:hAnsi="Times New Roman" w:eastAsia="仿宋" w:cs="Times New Roman"/>
          <w:color w:val="auto"/>
          <w:sz w:val="32"/>
          <w:szCs w:val="32"/>
          <w:highlight w:val="none"/>
          <w:u w:val="none" w:color="auto"/>
        </w:rPr>
        <w:t>，最大超标倍数</w:t>
      </w:r>
      <w:r>
        <w:rPr>
          <w:rFonts w:hint="default" w:ascii="Times New Roman" w:hAnsi="Times New Roman" w:eastAsia="仿宋" w:cs="Times New Roman"/>
          <w:color w:val="auto"/>
          <w:sz w:val="32"/>
          <w:szCs w:val="32"/>
          <w:highlight w:val="none"/>
          <w:u w:val="single" w:color="auto"/>
        </w:rPr>
        <w:t xml:space="preserve"> </w:t>
      </w:r>
      <w:r>
        <w:rPr>
          <w:rFonts w:hint="default" w:ascii="Times New Roman" w:hAnsi="Times New Roman" w:eastAsia="仿宋" w:cs="Times New Roman"/>
          <w:color w:val="auto"/>
          <w:sz w:val="32"/>
          <w:szCs w:val="32"/>
          <w:highlight w:val="none"/>
          <w:u w:val="single" w:color="auto"/>
          <w:lang w:val="en-US" w:eastAsia="zh-CN"/>
        </w:rPr>
        <w:t>/</w:t>
      </w:r>
      <w:r>
        <w:rPr>
          <w:rFonts w:hint="default" w:ascii="Times New Roman" w:hAnsi="Times New Roman" w:eastAsia="仿宋" w:cs="Times New Roman"/>
          <w:color w:val="auto"/>
          <w:sz w:val="32"/>
          <w:szCs w:val="32"/>
          <w:highlight w:val="none"/>
          <w:u w:val="single" w:color="auto"/>
        </w:rPr>
        <w:t xml:space="preserve"> </w:t>
      </w:r>
      <w:r>
        <w:rPr>
          <w:rFonts w:hint="default" w:ascii="Times New Roman" w:hAnsi="Times New Roman" w:eastAsia="仿宋" w:cs="Times New Roman"/>
          <w:color w:val="auto"/>
          <w:sz w:val="32"/>
          <w:szCs w:val="32"/>
          <w:highlight w:val="none"/>
          <w:u w:val="none" w:color="auto"/>
        </w:rPr>
        <w:t>倍。</w:t>
      </w:r>
      <w:r>
        <w:rPr>
          <w:rFonts w:hint="default" w:ascii="Times New Roman" w:hAnsi="Times New Roman" w:eastAsia="仿宋" w:cs="Times New Roman"/>
          <w:color w:val="auto"/>
          <w:sz w:val="32"/>
          <w:szCs w:val="32"/>
          <w:highlight w:val="none"/>
          <w:u w:val="none" w:color="auto"/>
          <w:lang w:val="en-US" w:eastAsia="zh-CN"/>
        </w:rPr>
        <w:t>已</w:t>
      </w:r>
      <w:r>
        <w:rPr>
          <w:rFonts w:hint="default" w:ascii="Times New Roman" w:hAnsi="Times New Roman" w:eastAsia="仿宋" w:cs="Times New Roman"/>
          <w:color w:val="auto"/>
          <w:sz w:val="32"/>
          <w:szCs w:val="32"/>
          <w:highlight w:val="none"/>
          <w:u w:val="none" w:color="auto"/>
          <w:lang w:eastAsia="zh-CN"/>
        </w:rPr>
        <w:t>开展土壤环境质量监测工作。</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auto"/>
          <w:sz w:val="32"/>
          <w:szCs w:val="32"/>
          <w:highlight w:val="none"/>
          <w:u w:val="none" w:color="auto"/>
        </w:rPr>
      </w:pPr>
      <w:r>
        <w:rPr>
          <w:rFonts w:hint="default" w:ascii="Times New Roman" w:hAnsi="Times New Roman" w:eastAsia="仿宋" w:cs="Times New Roman"/>
          <w:color w:val="auto"/>
          <w:sz w:val="32"/>
          <w:szCs w:val="32"/>
          <w:highlight w:val="none"/>
          <w:u w:val="none" w:color="auto"/>
        </w:rPr>
        <w:t>园区内涉及污染地块数量</w:t>
      </w:r>
      <w:r>
        <w:rPr>
          <w:rFonts w:hint="default" w:ascii="Times New Roman" w:hAnsi="Times New Roman" w:eastAsia="仿宋" w:cs="Times New Roman"/>
          <w:color w:val="auto"/>
          <w:sz w:val="32"/>
          <w:szCs w:val="32"/>
          <w:highlight w:val="none"/>
          <w:u w:val="none" w:color="auto"/>
          <w:lang w:val="en-US" w:eastAsia="zh-CN"/>
        </w:rPr>
        <w:t>0</w:t>
      </w:r>
      <w:r>
        <w:rPr>
          <w:rFonts w:hint="default" w:ascii="Times New Roman" w:hAnsi="Times New Roman" w:eastAsia="仿宋" w:cs="Times New Roman"/>
          <w:color w:val="auto"/>
          <w:sz w:val="32"/>
          <w:szCs w:val="32"/>
          <w:highlight w:val="none"/>
          <w:u w:val="none" w:color="auto"/>
        </w:rPr>
        <w:t>个，已完成修复</w:t>
      </w:r>
      <w:r>
        <w:rPr>
          <w:rFonts w:hint="default" w:ascii="Times New Roman" w:hAnsi="Times New Roman" w:eastAsia="仿宋" w:cs="Times New Roman"/>
          <w:color w:val="auto"/>
          <w:sz w:val="32"/>
          <w:szCs w:val="32"/>
          <w:highlight w:val="none"/>
          <w:u w:val="none" w:color="auto"/>
          <w:lang w:val="en-US" w:eastAsia="zh-CN"/>
        </w:rPr>
        <w:t>0</w:t>
      </w:r>
      <w:r>
        <w:rPr>
          <w:rFonts w:hint="default" w:ascii="Times New Roman" w:hAnsi="Times New Roman" w:eastAsia="仿宋" w:cs="Times New Roman"/>
          <w:color w:val="auto"/>
          <w:sz w:val="32"/>
          <w:szCs w:val="32"/>
          <w:highlight w:val="none"/>
          <w:u w:val="none" w:color="auto"/>
        </w:rPr>
        <w:t>个，未开工修复的</w:t>
      </w:r>
      <w:r>
        <w:rPr>
          <w:rFonts w:hint="default" w:ascii="Times New Roman" w:hAnsi="Times New Roman" w:eastAsia="仿宋" w:cs="Times New Roman"/>
          <w:color w:val="auto"/>
          <w:sz w:val="32"/>
          <w:szCs w:val="32"/>
          <w:highlight w:val="none"/>
          <w:u w:val="none" w:color="auto"/>
          <w:lang w:val="en-US" w:eastAsia="zh-CN"/>
        </w:rPr>
        <w:t>0</w:t>
      </w:r>
      <w:r>
        <w:rPr>
          <w:rFonts w:hint="default" w:ascii="Times New Roman" w:hAnsi="Times New Roman" w:eastAsia="仿宋" w:cs="Times New Roman"/>
          <w:color w:val="auto"/>
          <w:sz w:val="32"/>
          <w:szCs w:val="32"/>
          <w:highlight w:val="none"/>
          <w:u w:val="none" w:color="auto"/>
        </w:rPr>
        <w:t>个，修复中的</w:t>
      </w:r>
      <w:r>
        <w:rPr>
          <w:rFonts w:hint="default" w:ascii="Times New Roman" w:hAnsi="Times New Roman" w:eastAsia="仿宋" w:cs="Times New Roman"/>
          <w:color w:val="auto"/>
          <w:sz w:val="32"/>
          <w:szCs w:val="32"/>
          <w:highlight w:val="none"/>
          <w:u w:val="none" w:color="auto"/>
          <w:lang w:val="en-US" w:eastAsia="zh-CN"/>
        </w:rPr>
        <w:t>0</w:t>
      </w:r>
      <w:r>
        <w:rPr>
          <w:rFonts w:hint="default" w:ascii="Times New Roman" w:hAnsi="Times New Roman" w:eastAsia="仿宋" w:cs="Times New Roman"/>
          <w:color w:val="auto"/>
          <w:sz w:val="32"/>
          <w:szCs w:val="32"/>
          <w:highlight w:val="none"/>
          <w:u w:val="none" w:color="auto"/>
        </w:rPr>
        <w:t>个。</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outlineLvl w:val="9"/>
        <w:rPr>
          <w:rFonts w:hint="default" w:ascii="Times New Roman" w:hAnsi="Times New Roman" w:eastAsia="仿宋" w:cs="Times New Roman"/>
          <w:color w:val="auto"/>
          <w:sz w:val="32"/>
          <w:szCs w:val="32"/>
          <w:highlight w:val="none"/>
          <w:u w:val="none" w:color="auto"/>
        </w:rPr>
      </w:pPr>
      <w:r>
        <w:rPr>
          <w:rFonts w:hint="default" w:ascii="Times New Roman" w:hAnsi="Times New Roman" w:eastAsia="仿宋" w:cs="Times New Roman"/>
          <w:color w:val="auto"/>
          <w:sz w:val="32"/>
          <w:szCs w:val="32"/>
          <w:highlight w:val="none"/>
          <w:u w:val="none" w:color="auto"/>
        </w:rPr>
        <w:t>（六）固体废物管理</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auto"/>
          <w:szCs w:val="32"/>
          <w:highlight w:val="none"/>
          <w:u w:val="none" w:color="auto"/>
          <w:lang w:val="en-US" w:eastAsia="zh-CN"/>
        </w:rPr>
      </w:pPr>
      <w:r>
        <w:rPr>
          <w:rFonts w:hint="eastAsia" w:ascii="Times New Roman" w:hAnsi="Times New Roman" w:eastAsia="仿宋" w:cs="Times New Roman"/>
          <w:color w:val="auto"/>
          <w:sz w:val="32"/>
          <w:szCs w:val="32"/>
          <w:highlight w:val="none"/>
          <w:u w:val="none" w:color="auto"/>
          <w:lang w:eastAsia="zh-CN"/>
        </w:rPr>
        <w:t>湘西高新区</w:t>
      </w:r>
      <w:r>
        <w:rPr>
          <w:rFonts w:hint="eastAsia" w:ascii="Times New Roman" w:hAnsi="Times New Roman" w:eastAsia="仿宋" w:cs="Times New Roman"/>
          <w:color w:val="auto"/>
          <w:sz w:val="32"/>
          <w:szCs w:val="32"/>
          <w:highlight w:val="none"/>
          <w:u w:val="none" w:color="auto"/>
          <w:lang w:val="en-US" w:eastAsia="zh-CN"/>
        </w:rPr>
        <w:t>2025年固体废物管理已移交湘西州生态环境局吉首分局，具体事物已由吉首分局负责，园区不再负责企业巨头固体废物管理。</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0" w:firstLineChars="200"/>
        <w:textAlignment w:val="auto"/>
        <w:outlineLvl w:val="9"/>
        <w:rPr>
          <w:rFonts w:hint="default" w:ascii="Times New Roman" w:hAnsi="Times New Roman" w:eastAsia="仿宋" w:cs="Times New Roman"/>
          <w:color w:val="auto"/>
          <w:sz w:val="32"/>
          <w:szCs w:val="32"/>
          <w:highlight w:val="none"/>
          <w:u w:val="none" w:color="auto"/>
        </w:rPr>
      </w:pPr>
      <w:r>
        <w:rPr>
          <w:rFonts w:hint="default" w:ascii="Times New Roman" w:hAnsi="Times New Roman" w:eastAsia="仿宋" w:cs="Times New Roman"/>
          <w:color w:val="auto"/>
          <w:sz w:val="32"/>
          <w:szCs w:val="32"/>
          <w:highlight w:val="none"/>
          <w:u w:val="none" w:color="auto"/>
        </w:rPr>
        <w:t>（七）投诉管理</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eastAsia" w:ascii="Times New Roman" w:hAnsi="Times New Roman" w:eastAsia="仿宋" w:cs="Times New Roman"/>
          <w:color w:val="auto"/>
          <w:sz w:val="32"/>
          <w:szCs w:val="32"/>
          <w:highlight w:val="none"/>
          <w:u w:val="none" w:color="auto"/>
          <w:lang w:val="en-US" w:eastAsia="zh-CN"/>
        </w:rPr>
      </w:pPr>
      <w:r>
        <w:rPr>
          <w:rFonts w:hint="default" w:ascii="Times New Roman" w:hAnsi="Times New Roman" w:eastAsia="仿宋" w:cs="Times New Roman"/>
          <w:color w:val="auto"/>
          <w:sz w:val="32"/>
          <w:szCs w:val="32"/>
          <w:highlight w:val="none"/>
          <w:u w:val="none" w:color="auto"/>
        </w:rPr>
        <w:t>本年度园区共受理各类（含各级督查、各级环保投诉等）投诉</w:t>
      </w:r>
      <w:r>
        <w:rPr>
          <w:rFonts w:hint="eastAsia" w:ascii="Times New Roman" w:hAnsi="Times New Roman" w:eastAsia="仿宋" w:cs="Times New Roman"/>
          <w:color w:val="auto"/>
          <w:sz w:val="32"/>
          <w:szCs w:val="32"/>
          <w:highlight w:val="none"/>
          <w:u w:val="single" w:color="auto"/>
          <w:lang w:val="en-US" w:eastAsia="zh-CN"/>
        </w:rPr>
        <w:t xml:space="preserve"> / </w:t>
      </w:r>
      <w:r>
        <w:rPr>
          <w:rFonts w:hint="default" w:ascii="Times New Roman" w:hAnsi="Times New Roman" w:eastAsia="仿宋" w:cs="Times New Roman"/>
          <w:color w:val="auto"/>
          <w:sz w:val="32"/>
          <w:szCs w:val="32"/>
          <w:highlight w:val="none"/>
          <w:u w:val="none" w:color="auto"/>
        </w:rPr>
        <w:t>件，已完成整改</w:t>
      </w:r>
      <w:r>
        <w:rPr>
          <w:rFonts w:hint="eastAsia" w:ascii="Times New Roman" w:hAnsi="Times New Roman" w:eastAsia="仿宋" w:cs="Times New Roman"/>
          <w:color w:val="auto"/>
          <w:sz w:val="32"/>
          <w:szCs w:val="32"/>
          <w:highlight w:val="none"/>
          <w:u w:val="single" w:color="auto"/>
          <w:lang w:val="en-US" w:eastAsia="zh-CN"/>
        </w:rPr>
        <w:t xml:space="preserve"> / </w:t>
      </w:r>
      <w:r>
        <w:rPr>
          <w:rFonts w:hint="default" w:ascii="Times New Roman" w:hAnsi="Times New Roman" w:eastAsia="仿宋" w:cs="Times New Roman"/>
          <w:color w:val="auto"/>
          <w:sz w:val="32"/>
          <w:szCs w:val="32"/>
          <w:highlight w:val="none"/>
          <w:u w:val="none" w:color="auto"/>
        </w:rPr>
        <w:t>件，完成率</w:t>
      </w:r>
      <w:r>
        <w:rPr>
          <w:rFonts w:hint="eastAsia" w:ascii="Times New Roman" w:hAnsi="Times New Roman" w:eastAsia="仿宋" w:cs="Times New Roman"/>
          <w:color w:val="auto"/>
          <w:sz w:val="32"/>
          <w:szCs w:val="32"/>
          <w:highlight w:val="none"/>
          <w:u w:val="single" w:color="auto"/>
          <w:lang w:val="en-US" w:eastAsia="zh-CN"/>
        </w:rPr>
        <w:t xml:space="preserve"> / </w:t>
      </w:r>
      <w:r>
        <w:rPr>
          <w:rFonts w:hint="default" w:ascii="Times New Roman" w:hAnsi="Times New Roman" w:eastAsia="仿宋" w:cs="Times New Roman"/>
          <w:color w:val="auto"/>
          <w:sz w:val="32"/>
          <w:szCs w:val="32"/>
          <w:highlight w:val="none"/>
          <w:u w:val="none" w:color="auto"/>
        </w:rPr>
        <w:t>。环保督察交办问题</w:t>
      </w:r>
      <w:r>
        <w:rPr>
          <w:rFonts w:hint="eastAsia" w:ascii="Times New Roman" w:hAnsi="Times New Roman" w:eastAsia="仿宋" w:cs="Times New Roman"/>
          <w:color w:val="auto"/>
          <w:sz w:val="32"/>
          <w:szCs w:val="32"/>
          <w:highlight w:val="none"/>
          <w:u w:val="single" w:color="auto"/>
          <w:lang w:val="en-US" w:eastAsia="zh-CN"/>
        </w:rPr>
        <w:t xml:space="preserve"> / </w:t>
      </w:r>
      <w:r>
        <w:rPr>
          <w:rFonts w:hint="default" w:ascii="Times New Roman" w:hAnsi="Times New Roman" w:eastAsia="仿宋" w:cs="Times New Roman"/>
          <w:color w:val="auto"/>
          <w:sz w:val="32"/>
          <w:szCs w:val="32"/>
          <w:highlight w:val="none"/>
          <w:u w:val="none" w:color="auto"/>
        </w:rPr>
        <w:t>件，已完成整改</w:t>
      </w:r>
      <w:r>
        <w:rPr>
          <w:rFonts w:hint="eastAsia" w:ascii="Times New Roman" w:hAnsi="Times New Roman" w:eastAsia="仿宋" w:cs="Times New Roman"/>
          <w:color w:val="auto"/>
          <w:sz w:val="32"/>
          <w:szCs w:val="32"/>
          <w:highlight w:val="none"/>
          <w:u w:val="single" w:color="auto"/>
          <w:lang w:val="en-US" w:eastAsia="zh-CN"/>
        </w:rPr>
        <w:t xml:space="preserve"> / </w:t>
      </w:r>
      <w:r>
        <w:rPr>
          <w:rFonts w:hint="default" w:ascii="Times New Roman" w:hAnsi="Times New Roman" w:eastAsia="仿宋" w:cs="Times New Roman"/>
          <w:color w:val="auto"/>
          <w:sz w:val="32"/>
          <w:szCs w:val="32"/>
          <w:highlight w:val="none"/>
          <w:u w:val="none" w:color="auto"/>
        </w:rPr>
        <w:t>件，完成率</w:t>
      </w:r>
      <w:r>
        <w:rPr>
          <w:rFonts w:hint="eastAsia" w:ascii="Times New Roman" w:hAnsi="Times New Roman" w:eastAsia="仿宋" w:cs="Times New Roman"/>
          <w:color w:val="auto"/>
          <w:sz w:val="32"/>
          <w:szCs w:val="32"/>
          <w:highlight w:val="none"/>
          <w:u w:val="single" w:color="auto"/>
          <w:lang w:val="en-US" w:eastAsia="zh-CN"/>
        </w:rPr>
        <w:t xml:space="preserve"> / </w:t>
      </w:r>
      <w:r>
        <w:rPr>
          <w:rFonts w:hint="default" w:ascii="Times New Roman" w:hAnsi="Times New Roman" w:eastAsia="仿宋" w:cs="Times New Roman"/>
          <w:color w:val="auto"/>
          <w:sz w:val="32"/>
          <w:szCs w:val="32"/>
          <w:highlight w:val="none"/>
          <w:u w:val="none" w:color="auto"/>
        </w:rPr>
        <w:t>。</w:t>
      </w:r>
      <w:r>
        <w:rPr>
          <w:rFonts w:hint="eastAsia" w:ascii="Times New Roman" w:hAnsi="Times New Roman" w:eastAsia="仿宋" w:cs="Times New Roman"/>
          <w:color w:val="auto"/>
          <w:sz w:val="32"/>
          <w:szCs w:val="32"/>
          <w:highlight w:val="none"/>
          <w:u w:val="none" w:color="auto"/>
          <w:lang w:eastAsia="zh-CN"/>
        </w:rPr>
        <w:t>（注：湘西高新区内环保信访及投诉管理权限已移交湘西州</w:t>
      </w:r>
      <w:r>
        <w:rPr>
          <w:rFonts w:hint="eastAsia" w:ascii="Times New Roman" w:hAnsi="Times New Roman" w:eastAsia="仿宋" w:cs="Times New Roman"/>
          <w:color w:val="auto"/>
          <w:sz w:val="32"/>
          <w:szCs w:val="32"/>
          <w:highlight w:val="none"/>
          <w:u w:val="none" w:color="auto"/>
          <w:lang w:val="en-US" w:eastAsia="zh-CN"/>
        </w:rPr>
        <w:t>生态环境局吉首分局，由吉首分局负责具体事物）</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0"/>
        <w:textAlignment w:val="auto"/>
        <w:outlineLvl w:val="9"/>
        <w:rPr>
          <w:rFonts w:hint="default" w:ascii="Times New Roman" w:hAnsi="Times New Roman" w:eastAsia="仿宋" w:cs="Times New Roman"/>
          <w:color w:val="auto"/>
          <w:sz w:val="32"/>
          <w:szCs w:val="32"/>
          <w:highlight w:val="none"/>
          <w:u w:val="none" w:color="auto"/>
        </w:rPr>
      </w:pPr>
      <w:r>
        <w:rPr>
          <w:rFonts w:hint="default" w:ascii="Times New Roman" w:hAnsi="Times New Roman" w:eastAsia="仿宋" w:cs="Times New Roman"/>
          <w:color w:val="auto"/>
          <w:sz w:val="32"/>
          <w:szCs w:val="32"/>
          <w:highlight w:val="none"/>
          <w:u w:val="none" w:color="auto"/>
        </w:rPr>
        <w:t>（八）园区信用评价</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FF0000"/>
          <w:sz w:val="32"/>
          <w:szCs w:val="32"/>
          <w:highlight w:val="none"/>
          <w:u w:val="none" w:color="auto"/>
          <w:lang w:eastAsia="zh-CN"/>
        </w:rPr>
      </w:pPr>
      <w:r>
        <w:rPr>
          <w:rFonts w:hint="default" w:ascii="Times New Roman" w:hAnsi="Times New Roman" w:eastAsia="仿宋" w:cs="Times New Roman"/>
          <w:color w:val="FF0000"/>
          <w:sz w:val="32"/>
          <w:szCs w:val="32"/>
          <w:highlight w:val="none"/>
          <w:u w:val="none" w:color="auto"/>
        </w:rPr>
        <w:t>园区生态环境管理与信用管理办法和细则</w:t>
      </w:r>
      <w:r>
        <w:rPr>
          <w:rFonts w:hint="default" w:ascii="Times New Roman" w:hAnsi="Times New Roman" w:eastAsia="仿宋" w:cs="Times New Roman"/>
          <w:color w:val="FF0000"/>
          <w:sz w:val="32"/>
          <w:szCs w:val="32"/>
          <w:highlight w:val="none"/>
          <w:u w:val="none" w:color="auto"/>
          <w:lang w:eastAsia="zh-CN"/>
        </w:rPr>
        <w:t>按照文件要求正在开展，</w:t>
      </w:r>
      <w:r>
        <w:rPr>
          <w:rFonts w:hint="eastAsia" w:ascii="Times New Roman" w:hAnsi="Times New Roman" w:eastAsia="仿宋" w:cs="Times New Roman"/>
          <w:color w:val="FF0000"/>
          <w:sz w:val="32"/>
          <w:szCs w:val="32"/>
          <w:highlight w:val="none"/>
          <w:u w:val="none" w:color="auto"/>
          <w:lang w:eastAsia="zh-CN"/>
        </w:rPr>
        <w:t>初始分值为</w:t>
      </w:r>
      <w:r>
        <w:rPr>
          <w:rFonts w:hint="eastAsia" w:ascii="Times New Roman" w:hAnsi="Times New Roman" w:eastAsia="仿宋" w:cs="Times New Roman"/>
          <w:color w:val="FF0000"/>
          <w:sz w:val="32"/>
          <w:szCs w:val="32"/>
          <w:highlight w:val="none"/>
          <w:u w:val="none" w:color="auto"/>
          <w:lang w:val="en-US" w:eastAsia="zh-CN"/>
        </w:rPr>
        <w:t>9分，</w:t>
      </w:r>
      <w:r>
        <w:rPr>
          <w:rFonts w:hint="default" w:ascii="Times New Roman" w:hAnsi="Times New Roman" w:eastAsia="仿宋" w:cs="Times New Roman"/>
          <w:color w:val="FF0000"/>
          <w:sz w:val="32"/>
          <w:szCs w:val="32"/>
          <w:highlight w:val="none"/>
          <w:u w:val="none" w:color="auto"/>
          <w:lang w:eastAsia="zh-CN"/>
        </w:rPr>
        <w:t>湘西高新区经过自查，</w:t>
      </w:r>
      <w:r>
        <w:rPr>
          <w:rFonts w:hint="eastAsia" w:ascii="Times New Roman" w:hAnsi="Times New Roman" w:eastAsia="仿宋" w:cs="Times New Roman"/>
          <w:color w:val="FF0000"/>
          <w:sz w:val="32"/>
          <w:szCs w:val="32"/>
          <w:highlight w:val="none"/>
          <w:u w:val="none" w:color="auto"/>
          <w:lang w:eastAsia="zh-CN"/>
        </w:rPr>
        <w:t>无扣分及加分情况，</w:t>
      </w:r>
      <w:r>
        <w:rPr>
          <w:rFonts w:hint="default" w:ascii="Times New Roman" w:hAnsi="Times New Roman" w:eastAsia="仿宋" w:cs="Times New Roman"/>
          <w:color w:val="FF0000"/>
          <w:sz w:val="32"/>
          <w:szCs w:val="32"/>
          <w:highlight w:val="none"/>
          <w:u w:val="none" w:color="auto"/>
          <w:lang w:eastAsia="zh-CN"/>
        </w:rPr>
        <w:t>拟自评为环保</w:t>
      </w:r>
      <w:r>
        <w:rPr>
          <w:rFonts w:hint="default" w:ascii="Times New Roman" w:hAnsi="Times New Roman" w:eastAsia="仿宋" w:cs="Times New Roman"/>
          <w:color w:val="FF0000"/>
          <w:sz w:val="32"/>
          <w:szCs w:val="32"/>
          <w:highlight w:val="none"/>
          <w:u w:val="none" w:color="auto"/>
          <w:lang w:val="en-US" w:eastAsia="zh-CN"/>
        </w:rPr>
        <w:t>合格</w:t>
      </w:r>
      <w:r>
        <w:rPr>
          <w:rFonts w:hint="default" w:ascii="Times New Roman" w:hAnsi="Times New Roman" w:eastAsia="仿宋" w:cs="Times New Roman"/>
          <w:color w:val="FF0000"/>
          <w:sz w:val="32"/>
          <w:szCs w:val="32"/>
          <w:highlight w:val="none"/>
          <w:u w:val="none" w:color="auto"/>
          <w:lang w:eastAsia="zh-CN"/>
        </w:rPr>
        <w:t>园区。</w:t>
      </w:r>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643"/>
        <w:textAlignment w:val="auto"/>
        <w:outlineLvl w:val="9"/>
        <w:rPr>
          <w:rFonts w:hint="default" w:ascii="Times New Roman" w:hAnsi="Times New Roman" w:eastAsia="仿宋" w:cs="Times New Roman"/>
          <w:color w:val="FF0000"/>
          <w:sz w:val="32"/>
          <w:szCs w:val="32"/>
          <w:highlight w:val="none"/>
          <w:u w:val="none" w:color="auto"/>
          <w:lang w:eastAsia="zh-CN"/>
        </w:rPr>
      </w:pPr>
      <w:r>
        <w:rPr>
          <w:rFonts w:hint="eastAsia" w:ascii="Times New Roman" w:hAnsi="Times New Roman" w:eastAsia="仿宋" w:cs="Times New Roman"/>
          <w:color w:val="FF0000"/>
          <w:sz w:val="32"/>
          <w:szCs w:val="32"/>
          <w:highlight w:val="none"/>
          <w:u w:val="none" w:color="auto"/>
          <w:lang w:eastAsia="zh-CN"/>
        </w:rPr>
        <w:t>园区</w:t>
      </w:r>
      <w:r>
        <w:rPr>
          <w:rFonts w:hint="eastAsia" w:ascii="Times New Roman" w:hAnsi="Times New Roman" w:eastAsia="仿宋" w:cs="Times New Roman"/>
          <w:color w:val="FF0000"/>
          <w:sz w:val="32"/>
          <w:szCs w:val="32"/>
          <w:highlight w:val="none"/>
          <w:u w:val="none" w:color="auto"/>
          <w:lang w:val="en-US" w:eastAsia="zh-CN"/>
        </w:rPr>
        <w:t>2025年度</w:t>
      </w:r>
      <w:r>
        <w:rPr>
          <w:rFonts w:hint="default" w:ascii="Times New Roman" w:hAnsi="Times New Roman" w:eastAsia="仿宋" w:cs="Times New Roman"/>
          <w:color w:val="FF0000"/>
          <w:sz w:val="32"/>
          <w:szCs w:val="32"/>
          <w:highlight w:val="none"/>
          <w:u w:val="none" w:color="auto"/>
          <w:lang w:eastAsia="zh-CN"/>
        </w:rPr>
        <w:t>自评表</w:t>
      </w:r>
      <w:r>
        <w:rPr>
          <w:rFonts w:hint="eastAsia" w:ascii="Times New Roman" w:hAnsi="Times New Roman" w:eastAsia="仿宋" w:cs="Times New Roman"/>
          <w:color w:val="FF0000"/>
          <w:sz w:val="32"/>
          <w:szCs w:val="32"/>
          <w:highlight w:val="none"/>
          <w:u w:val="none" w:color="auto"/>
          <w:lang w:eastAsia="zh-CN"/>
        </w:rPr>
        <w:t>见下表（初始分值</w:t>
      </w:r>
      <w:r>
        <w:rPr>
          <w:rFonts w:hint="eastAsia" w:ascii="Times New Roman" w:hAnsi="Times New Roman" w:eastAsia="仿宋" w:cs="Times New Roman"/>
          <w:color w:val="FF0000"/>
          <w:sz w:val="32"/>
          <w:szCs w:val="32"/>
          <w:highlight w:val="none"/>
          <w:u w:val="none" w:color="auto"/>
          <w:lang w:val="en-US" w:eastAsia="zh-CN"/>
        </w:rPr>
        <w:t>9分。</w:t>
      </w:r>
      <w:r>
        <w:rPr>
          <w:rFonts w:hint="eastAsia" w:ascii="Times New Roman" w:hAnsi="Times New Roman" w:eastAsia="仿宋" w:cs="Times New Roman"/>
          <w:color w:val="FF0000"/>
          <w:sz w:val="32"/>
          <w:szCs w:val="32"/>
          <w:highlight w:val="none"/>
          <w:u w:val="none" w:color="auto"/>
          <w:lang w:eastAsia="zh-CN"/>
        </w:rPr>
        <w:t>得分为</w:t>
      </w:r>
      <w:r>
        <w:rPr>
          <w:rFonts w:hint="eastAsia" w:ascii="Times New Roman" w:hAnsi="Times New Roman" w:eastAsia="仿宋" w:cs="Times New Roman"/>
          <w:color w:val="FF0000"/>
          <w:sz w:val="32"/>
          <w:szCs w:val="32"/>
          <w:highlight w:val="none"/>
          <w:u w:val="none" w:color="auto"/>
          <w:lang w:val="en-US" w:eastAsia="zh-CN"/>
        </w:rPr>
        <w:t>0分为无扣分和加分）</w:t>
      </w:r>
      <w:r>
        <w:rPr>
          <w:rFonts w:hint="default" w:ascii="Times New Roman" w:hAnsi="Times New Roman" w:eastAsia="仿宋" w:cs="Times New Roman"/>
          <w:color w:val="FF0000"/>
          <w:sz w:val="32"/>
          <w:szCs w:val="32"/>
          <w:highlight w:val="none"/>
          <w:u w:val="none" w:color="auto"/>
          <w:lang w:eastAsia="zh-CN"/>
        </w:rPr>
        <w:t>：</w:t>
      </w:r>
      <w:bookmarkStart w:id="10" w:name="_Toc18838"/>
    </w:p>
    <w:p>
      <w:pPr>
        <w:pStyle w:val="14"/>
        <w:keepNext w:val="0"/>
        <w:keepLines w:val="0"/>
        <w:pageBreakBefore w:val="0"/>
        <w:widowControl w:val="0"/>
        <w:kinsoku/>
        <w:wordWrap/>
        <w:overflowPunct/>
        <w:topLinePunct w:val="0"/>
        <w:autoSpaceDE/>
        <w:autoSpaceDN/>
        <w:bidi w:val="0"/>
        <w:adjustRightInd/>
        <w:snapToGrid w:val="0"/>
        <w:spacing w:after="0" w:line="560" w:lineRule="exact"/>
        <w:ind w:left="0" w:leftChars="0" w:firstLine="0" w:firstLineChars="0"/>
        <w:jc w:val="center"/>
        <w:textAlignment w:val="auto"/>
        <w:outlineLvl w:val="9"/>
        <w:rPr>
          <w:rFonts w:hint="default" w:ascii="方正小标宋_GBK" w:hAnsi="方正小标宋_GBK" w:eastAsia="方正小标宋_GBK" w:cs="方正小标宋_GBK"/>
          <w:b/>
          <w:bCs/>
          <w:color w:val="auto"/>
          <w:kern w:val="0"/>
          <w:sz w:val="28"/>
          <w:szCs w:val="28"/>
          <w:highlight w:val="none"/>
          <w:lang w:val="en-US" w:eastAsia="zh-CN"/>
        </w:rPr>
      </w:pPr>
      <w:r>
        <w:rPr>
          <w:rFonts w:hint="eastAsia" w:ascii="Times New Roman" w:hAnsi="Times New Roman" w:eastAsia="仿宋_GB2312" w:cs="仿宋_GB2312"/>
          <w:b/>
          <w:bCs/>
          <w:color w:val="auto"/>
          <w:sz w:val="28"/>
          <w:szCs w:val="28"/>
          <w:highlight w:val="none"/>
          <w:u w:val="none" w:color="auto"/>
          <w:lang w:eastAsia="zh-CN"/>
        </w:rPr>
        <w:t>湘西高新区环保信用自评</w:t>
      </w:r>
      <w:bookmarkEnd w:id="10"/>
      <w:r>
        <w:rPr>
          <w:rFonts w:hint="eastAsia" w:ascii="Times New Roman" w:hAnsi="Times New Roman" w:eastAsia="仿宋_GB2312" w:cs="仿宋_GB2312"/>
          <w:b/>
          <w:bCs/>
          <w:color w:val="auto"/>
          <w:sz w:val="28"/>
          <w:szCs w:val="28"/>
          <w:highlight w:val="none"/>
          <w:u w:val="none" w:color="auto"/>
          <w:lang w:val="en-US" w:eastAsia="zh-CN"/>
        </w:rPr>
        <w:t>情况表</w:t>
      </w:r>
    </w:p>
    <w:tbl>
      <w:tblPr>
        <w:tblStyle w:val="42"/>
        <w:tblW w:w="50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4"/>
        <w:gridCol w:w="638"/>
        <w:gridCol w:w="1487"/>
        <w:gridCol w:w="4907"/>
        <w:gridCol w:w="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3" w:hRule="atLeast"/>
          <w:jc w:val="center"/>
        </w:trPr>
        <w:tc>
          <w:tcPr>
            <w:tcW w:w="653" w:type="dxa"/>
            <w:textDirection w:val="tbRlV"/>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b/>
                <w:bCs/>
                <w:color w:val="auto"/>
                <w:sz w:val="28"/>
                <w:szCs w:val="28"/>
                <w:highlight w:val="none"/>
                <w:u w:val="none" w:color="auto"/>
                <w:lang w:val="en-US" w:eastAsia="zh-CN"/>
              </w:rPr>
            </w:pPr>
            <w:r>
              <w:rPr>
                <w:rFonts w:hint="eastAsia" w:ascii="Times New Roman" w:hAnsi="Times New Roman" w:eastAsia="仿宋_GB2312" w:cs="仿宋_GB2312"/>
                <w:b/>
                <w:bCs/>
                <w:color w:val="auto"/>
                <w:sz w:val="28"/>
                <w:szCs w:val="28"/>
                <w:highlight w:val="none"/>
                <w:u w:val="none" w:color="auto"/>
                <w:lang w:val="en-US" w:eastAsia="zh-CN"/>
              </w:rPr>
              <w:t>序号</w:t>
            </w:r>
          </w:p>
        </w:tc>
        <w:tc>
          <w:tcPr>
            <w:tcW w:w="63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b/>
                <w:bCs/>
                <w:color w:val="auto"/>
                <w:sz w:val="28"/>
                <w:szCs w:val="28"/>
                <w:highlight w:val="none"/>
                <w:u w:val="none" w:color="auto"/>
                <w:lang w:val="en-US" w:eastAsia="zh-CN"/>
              </w:rPr>
            </w:pPr>
            <w:r>
              <w:rPr>
                <w:rFonts w:hint="eastAsia" w:ascii="Times New Roman" w:hAnsi="Times New Roman" w:eastAsia="仿宋_GB2312" w:cs="仿宋_GB2312"/>
                <w:b/>
                <w:bCs/>
                <w:color w:val="auto"/>
                <w:sz w:val="28"/>
                <w:szCs w:val="28"/>
                <w:highlight w:val="none"/>
                <w:u w:val="none" w:color="auto"/>
                <w:lang w:val="en-US" w:eastAsia="zh-CN"/>
              </w:rPr>
              <w:t>一级指标</w:t>
            </w: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b/>
                <w:bCs/>
                <w:color w:val="auto"/>
                <w:sz w:val="28"/>
                <w:szCs w:val="28"/>
                <w:highlight w:val="none"/>
                <w:u w:val="none" w:color="auto"/>
                <w:lang w:val="en-US" w:eastAsia="zh-CN"/>
              </w:rPr>
            </w:pPr>
            <w:r>
              <w:rPr>
                <w:rFonts w:hint="eastAsia" w:ascii="Times New Roman" w:hAnsi="Times New Roman" w:eastAsia="仿宋_GB2312" w:cs="仿宋_GB2312"/>
                <w:b/>
                <w:bCs/>
                <w:color w:val="auto"/>
                <w:sz w:val="28"/>
                <w:szCs w:val="28"/>
                <w:highlight w:val="none"/>
                <w:u w:val="none" w:color="auto"/>
                <w:lang w:val="en-US" w:eastAsia="zh-CN"/>
              </w:rPr>
              <w:t>二级指标</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b/>
                <w:bCs/>
                <w:color w:val="auto"/>
                <w:sz w:val="28"/>
                <w:szCs w:val="28"/>
                <w:highlight w:val="none"/>
                <w:u w:val="none" w:color="auto"/>
                <w:lang w:val="en-US" w:eastAsia="zh-CN"/>
              </w:rPr>
            </w:pPr>
            <w:r>
              <w:rPr>
                <w:rFonts w:hint="eastAsia" w:ascii="Times New Roman" w:hAnsi="Times New Roman" w:eastAsia="仿宋_GB2312" w:cs="仿宋_GB2312"/>
                <w:b/>
                <w:bCs/>
                <w:color w:val="auto"/>
                <w:sz w:val="28"/>
                <w:szCs w:val="28"/>
                <w:highlight w:val="none"/>
                <w:u w:val="none" w:color="auto"/>
                <w:lang w:val="en-US" w:eastAsia="zh-CN"/>
              </w:rPr>
              <w:t>评价标准</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b/>
                <w:bCs/>
                <w:color w:val="auto"/>
                <w:sz w:val="28"/>
                <w:szCs w:val="28"/>
                <w:highlight w:val="none"/>
                <w:u w:val="none" w:color="auto"/>
                <w:lang w:val="en-US" w:eastAsia="zh-CN"/>
              </w:rPr>
            </w:pPr>
            <w:r>
              <w:rPr>
                <w:rFonts w:hint="eastAsia" w:ascii="Times New Roman" w:hAnsi="Times New Roman" w:eastAsia="仿宋_GB2312" w:cs="仿宋_GB2312"/>
                <w:b/>
                <w:bCs/>
                <w:color w:val="auto"/>
                <w:sz w:val="28"/>
                <w:szCs w:val="28"/>
                <w:highlight w:val="none"/>
                <w:u w:val="none" w:color="auto"/>
                <w:lang w:val="en-US"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1.</w:t>
            </w:r>
          </w:p>
        </w:tc>
        <w:tc>
          <w:tcPr>
            <w:tcW w:w="637" w:type="dxa"/>
            <w:vMerge w:val="restart"/>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环境准入</w:t>
            </w:r>
          </w:p>
        </w:tc>
        <w:tc>
          <w:tcPr>
            <w:tcW w:w="1485" w:type="dxa"/>
            <w:vMerge w:val="restart"/>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规划环评</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产业园区未按要求开展规划环评或环境影响跟踪评价。</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5"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2.</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产业园区未落实“三线一单”生态环境分区管控等要求。</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3.</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化工园区认定后因生态环境保护工作不达标导致复核不合格或被摘牌。</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0"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4.</w:t>
            </w:r>
          </w:p>
        </w:tc>
        <w:tc>
          <w:tcPr>
            <w:tcW w:w="637" w:type="dxa"/>
            <w:vMerge w:val="restart"/>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环境监管</w:t>
            </w: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环保手续落实情况</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产业园区内存在企事业单位未依法开展环境影响评价或未按要求申领排污许可证和辐射安全许可证。</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5.</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水环境管理</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产业园区未按要求进行废水收集处理或未达标排放。</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99"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6.</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气环境管理</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产业园区内存在工业炉窑、锅炉或涉VOCs重点行业企事业单位未按规定建设、运行有效收集处理设施并达标排放。</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0"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7.</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固废管理</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产业园区内存在涉危险废物环境违法行为或连续2年规范化管理评估不达标企事业单位。</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0"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8.</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土壤环境管理</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产业园区内存在土壤污染重点监管单位未按要求开展自行监测和隐患排查。</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0"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9.</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环境监测</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产业园区未按规定开展自行监测或自行监测数据弄虚作假。</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10.</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Merge w:val="restart"/>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监管能力</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产业园区未按要求开展环境污染第三方治理。</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0"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11.</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产业园区污染物排放超过总量控制要求或由于产业园区原因造成环境质量超标、环境质量恶化的情况。</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default"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0"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12.</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产业园区建成较完善环境监测体系，并按要求将数据与省监管平台联网。</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13.</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产业园区内存在被评为环保黑名单的企事业单位。</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14.</w:t>
            </w:r>
          </w:p>
        </w:tc>
        <w:tc>
          <w:tcPr>
            <w:tcW w:w="637" w:type="dxa"/>
            <w:vMerge w:val="restart"/>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风险防控</w:t>
            </w: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环境应急保障能力建设</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产业园区未按要求制定或修编园区突发环境事件应急预案、未定期组织开展应急演练、环境应急设施和救援物资配备不符合规定、环境风险防范措施不到位、未建设应急指挥平台。</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3"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15.</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环境风险</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产业园区发生一般、较大突发环境事件或生态破坏事件。</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36"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16.</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产业园区存在被中央或省级环保督察、生态环境警示片等反馈问题，或出现被省级及以上主管部门挂牌督办或被省级主管部门约谈、典型案例曝光、区域限批、移交问责等情况。</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13"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17.</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因发生突出生态环境问题被中央层面约谈、典型案例曝光、区域限批、移交问责等情况或发生重、特大突发环境事件或生态破坏事件。产业园区存在出台“土政策”或以其他方式干扰执法，妨碍生态环境部门依法查处环境违法问题的行为，且情节严重或者造成严重后果。</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default"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3"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18.</w:t>
            </w:r>
          </w:p>
        </w:tc>
        <w:tc>
          <w:tcPr>
            <w:tcW w:w="637" w:type="dxa"/>
            <w:vMerge w:val="restart"/>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绿色发展</w:t>
            </w: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污染物减排</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产业园区单位GDP主要污染物排放量排名前10%。</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3"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19.</w:t>
            </w:r>
          </w:p>
        </w:tc>
        <w:tc>
          <w:tcPr>
            <w:tcW w:w="637" w:type="dxa"/>
            <w:vMerge w:val="continue"/>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创新与示范</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产业园区在生态环境保护和绿色发展领域获得省部级及以上表彰、推荐推广。</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3"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20.</w:t>
            </w:r>
          </w:p>
        </w:tc>
        <w:tc>
          <w:tcPr>
            <w:tcW w:w="63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公众参与</w:t>
            </w: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舆情与投诉</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产业园区因环境问题引发集中或长时间信访、投诉，引发负面舆情。</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3"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21.</w:t>
            </w:r>
          </w:p>
        </w:tc>
        <w:tc>
          <w:tcPr>
            <w:tcW w:w="63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其他</w:t>
            </w: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w:t>
            </w: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产业园区未按要求完成省生态环境厅其他年度任务。</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3"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22.</w:t>
            </w:r>
          </w:p>
        </w:tc>
        <w:tc>
          <w:tcPr>
            <w:tcW w:w="63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产业园区存在出台“土政策”或以其他方式干扰执法，妨碍生态环境部门依法查处环境违法问题的行为。</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5" w:hRule="atLeast"/>
          <w:jc w:val="center"/>
        </w:trPr>
        <w:tc>
          <w:tcPr>
            <w:tcW w:w="653"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23.</w:t>
            </w:r>
          </w:p>
        </w:tc>
        <w:tc>
          <w:tcPr>
            <w:tcW w:w="63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1485"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p>
        </w:tc>
        <w:tc>
          <w:tcPr>
            <w:tcW w:w="4901"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产业园区连续两年被评为环保诚信园区。</w:t>
            </w:r>
          </w:p>
        </w:tc>
        <w:tc>
          <w:tcPr>
            <w:tcW w:w="657" w:type="dxa"/>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Times New Roman" w:hAnsi="Times New Roman" w:eastAsia="仿宋_GB2312" w:cs="仿宋_GB2312"/>
                <w:color w:val="auto"/>
                <w:sz w:val="28"/>
                <w:szCs w:val="28"/>
                <w:highlight w:val="none"/>
                <w:u w:val="none" w:color="auto"/>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jc w:val="center"/>
        </w:trPr>
        <w:tc>
          <w:tcPr>
            <w:tcW w:w="8333" w:type="dxa"/>
            <w:gridSpan w:val="5"/>
            <w:vAlign w:val="center"/>
          </w:tcPr>
          <w:p>
            <w:pPr>
              <w:pStyle w:val="14"/>
              <w:keepNext w:val="0"/>
              <w:keepLines w:val="0"/>
              <w:pageBreakBefore w:val="0"/>
              <w:widowControl w:val="0"/>
              <w:kinsoku/>
              <w:wordWrap/>
              <w:overflowPunct/>
              <w:topLinePunct w:val="0"/>
              <w:autoSpaceDE/>
              <w:autoSpaceDN/>
              <w:bidi w:val="0"/>
              <w:adjustRightInd/>
              <w:snapToGrid w:val="0"/>
              <w:spacing w:after="0" w:line="240" w:lineRule="auto"/>
              <w:ind w:left="0" w:leftChars="0" w:firstLine="0" w:firstLineChars="0"/>
              <w:jc w:val="center"/>
              <w:textAlignment w:val="auto"/>
              <w:outlineLvl w:val="9"/>
              <w:rPr>
                <w:rFonts w:hint="eastAsia" w:ascii="Times New Roman" w:hAnsi="Times New Roman" w:eastAsia="仿宋_GB2312" w:cs="仿宋_GB2312"/>
                <w:color w:val="auto"/>
                <w:sz w:val="28"/>
                <w:szCs w:val="28"/>
                <w:highlight w:val="none"/>
                <w:u w:val="none" w:color="auto"/>
                <w:lang w:val="en-US" w:eastAsia="zh-CN"/>
              </w:rPr>
            </w:pPr>
            <w:r>
              <w:rPr>
                <w:rFonts w:hint="eastAsia" w:ascii="仿宋" w:hAnsi="仿宋" w:eastAsia="仿宋"/>
                <w:color w:val="auto"/>
                <w:sz w:val="28"/>
                <w:szCs w:val="28"/>
                <w:highlight w:val="none"/>
              </w:rPr>
              <w:t>总分：</w:t>
            </w:r>
            <w:r>
              <w:rPr>
                <w:rFonts w:hint="eastAsia" w:ascii="仿宋" w:hAnsi="仿宋" w:eastAsia="仿宋"/>
                <w:color w:val="auto"/>
                <w:sz w:val="28"/>
                <w:szCs w:val="28"/>
                <w:highlight w:val="none"/>
                <w:lang w:val="en-US" w:eastAsia="zh-CN"/>
              </w:rPr>
              <w:t>9</w:t>
            </w:r>
            <w:r>
              <w:rPr>
                <w:rFonts w:hint="eastAsia" w:ascii="仿宋" w:hAnsi="仿宋" w:eastAsia="仿宋"/>
                <w:color w:val="auto"/>
                <w:sz w:val="28"/>
                <w:szCs w:val="28"/>
                <w:highlight w:val="none"/>
              </w:rPr>
              <w:t xml:space="preserve">      等级：环保</w:t>
            </w:r>
            <w:r>
              <w:rPr>
                <w:rFonts w:hint="eastAsia" w:ascii="仿宋" w:hAnsi="仿宋" w:eastAsia="仿宋"/>
                <w:color w:val="auto"/>
                <w:sz w:val="28"/>
                <w:szCs w:val="28"/>
                <w:highlight w:val="none"/>
                <w:lang w:val="en-US" w:eastAsia="zh-CN"/>
              </w:rPr>
              <w:t>合格</w:t>
            </w:r>
            <w:r>
              <w:rPr>
                <w:rFonts w:hint="eastAsia" w:ascii="仿宋" w:hAnsi="仿宋" w:eastAsia="仿宋"/>
                <w:color w:val="auto"/>
                <w:sz w:val="28"/>
                <w:szCs w:val="28"/>
                <w:highlight w:val="none"/>
              </w:rPr>
              <w:t>园区</w:t>
            </w:r>
          </w:p>
        </w:tc>
      </w:tr>
    </w:tbl>
    <w:p>
      <w:pPr>
        <w:rPr>
          <w:rFonts w:hint="eastAsia" w:ascii="黑体" w:hAnsi="黑体" w:eastAsia="黑体" w:cs="黑体"/>
          <w:color w:val="auto"/>
          <w:sz w:val="32"/>
          <w:szCs w:val="32"/>
          <w:highlight w:val="none"/>
        </w:rPr>
      </w:pPr>
      <w:bookmarkStart w:id="11" w:name="_Toc21136"/>
      <w:r>
        <w:rPr>
          <w:rFonts w:hint="eastAsia" w:ascii="黑体" w:hAnsi="黑体" w:eastAsia="黑体" w:cs="黑体"/>
          <w:color w:val="auto"/>
          <w:sz w:val="32"/>
          <w:szCs w:val="32"/>
          <w:highlight w:val="none"/>
        </w:rPr>
        <w:br w:type="page"/>
      </w:r>
    </w:p>
    <w:p>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三、园区环保工作成效、主要措施做法</w:t>
      </w:r>
      <w:bookmarkEnd w:id="11"/>
    </w:p>
    <w:p>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lang w:val="en-US" w:eastAsia="zh-CN"/>
        </w:rPr>
        <w:t>1</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lang w:val="en-US" w:eastAsia="zh-CN"/>
        </w:rPr>
        <w:t>突出环境问题整改见底清零。严格落实“党政同责、一岗双责”“三管三必须”，实行突出环境问题领导包案制度。截至2025年9月，第二轮省生态环境保护督察反馈的污水处理厂建设、扬尘裸土、生物质锅炉整治、责任落实不够等一批问题，经核查验收全部完成整改并销号</w:t>
      </w:r>
    </w:p>
    <w:p>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val="0"/>
          <w:bCs w:val="0"/>
          <w:color w:val="auto"/>
          <w:sz w:val="32"/>
          <w:szCs w:val="32"/>
          <w:highlight w:val="none"/>
          <w:lang w:val="en-US" w:eastAsia="zh-CN"/>
        </w:rPr>
        <w:t>（2）</w:t>
      </w:r>
      <w:r>
        <w:rPr>
          <w:rFonts w:hint="eastAsia" w:ascii="仿宋" w:hAnsi="仿宋" w:eastAsia="仿宋" w:cs="仿宋"/>
          <w:b w:val="0"/>
          <w:bCs w:val="0"/>
          <w:color w:val="auto"/>
          <w:sz w:val="32"/>
          <w:szCs w:val="32"/>
          <w:highlight w:val="none"/>
          <w:u w:val="none" w:color="auto"/>
          <w:lang w:val="en-US" w:eastAsia="zh-CN"/>
        </w:rPr>
        <w:t>污染防治攻坚精准提标。印发《深入打好污染防治攻坚战"提</w:t>
      </w:r>
      <w:r>
        <w:rPr>
          <w:rFonts w:hint="eastAsia" w:ascii="仿宋" w:hAnsi="仿宋" w:eastAsia="仿宋" w:cs="仿宋"/>
          <w:color w:val="auto"/>
          <w:sz w:val="32"/>
          <w:szCs w:val="32"/>
          <w:highlight w:val="none"/>
          <w:u w:val="none" w:color="auto"/>
          <w:lang w:val="en-US" w:eastAsia="zh-CN"/>
        </w:rPr>
        <w:t>效达标、保优争先"工作方案》及"夏季攻势"任务清单，蓝天侧重工地扬尘、渣土运输、VOCs、生物质锅炉，碧水侧重污水收集与河道水质，净土侧重危废固废规范贮存。捧捧坳山水净化站2025年完成扩容，日处理能力由2000立方米提升至8000立方米，出水执行地表水Ⅲ类标准，支撑湾溪河水环境治理。</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3）源头管控与服务企业融合深化。落实“三线一单”生态环境准入清单，严把项目入区环评关，对绿色产业简管、重点行业严管，杜绝“一刀切”。全年开展“6·5”环境日宣传，召开全行业企业“面对面”帮扶培训1次、现场学习先进企业1次，对46家企业开展危废管理、VOCs治理专题培训。</w:t>
      </w:r>
    </w:p>
    <w:p>
      <w:pPr>
        <w:rPr>
          <w:rFonts w:hint="eastAsia" w:ascii="黑体" w:hAnsi="黑体" w:eastAsia="黑体" w:cs="黑体"/>
          <w:b w:val="0"/>
          <w:bCs w:val="0"/>
          <w:color w:val="auto"/>
          <w:sz w:val="32"/>
          <w:szCs w:val="32"/>
          <w:highlight w:val="none"/>
        </w:rPr>
      </w:pPr>
      <w:bookmarkStart w:id="12" w:name="_Toc16145"/>
      <w:r>
        <w:rPr>
          <w:rFonts w:hint="eastAsia" w:ascii="黑体" w:hAnsi="黑体" w:eastAsia="黑体" w:cs="黑体"/>
          <w:b w:val="0"/>
          <w:bCs w:val="0"/>
          <w:color w:val="auto"/>
          <w:sz w:val="32"/>
          <w:szCs w:val="32"/>
          <w:highlight w:val="none"/>
        </w:rPr>
        <w:br w:type="page"/>
      </w:r>
    </w:p>
    <w:p>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四、园区生态环境管理存在主要问题和难题</w:t>
      </w:r>
      <w:bookmarkEnd w:id="12"/>
    </w:p>
    <w:p>
      <w:pPr>
        <w:pStyle w:val="14"/>
        <w:keepNext w:val="0"/>
        <w:keepLines w:val="0"/>
        <w:pageBreakBefore w:val="0"/>
        <w:kinsoku/>
        <w:wordWrap/>
        <w:overflowPunct/>
        <w:topLinePunct w:val="0"/>
        <w:autoSpaceDE/>
        <w:autoSpaceDN/>
        <w:bidi w:val="0"/>
        <w:adjustRightInd/>
        <w:snapToGrid/>
        <w:spacing w:beforeAutospacing="0" w:after="0" w:line="560" w:lineRule="exact"/>
        <w:ind w:left="0" w:leftChars="0" w:firstLine="640" w:firstLineChars="200"/>
        <w:textAlignment w:val="auto"/>
        <w:outlineLvl w:val="9"/>
        <w:rPr>
          <w:rFonts w:hint="eastAsia" w:ascii="仿宋" w:hAnsi="仿宋" w:eastAsia="仿宋" w:cs="仿宋"/>
          <w:b w:val="0"/>
          <w:bCs w:val="0"/>
          <w:color w:val="auto"/>
          <w:sz w:val="32"/>
          <w:szCs w:val="32"/>
          <w:highlight w:val="none"/>
          <w:u w:val="none" w:color="auto"/>
          <w:lang w:val="en-US" w:eastAsia="zh-CN"/>
        </w:rPr>
      </w:pPr>
      <w:r>
        <w:rPr>
          <w:rFonts w:hint="eastAsia" w:ascii="仿宋" w:hAnsi="仿宋" w:eastAsia="仿宋" w:cs="仿宋"/>
          <w:b w:val="0"/>
          <w:bCs w:val="0"/>
          <w:color w:val="auto"/>
          <w:sz w:val="32"/>
          <w:szCs w:val="32"/>
          <w:highlight w:val="none"/>
          <w:u w:val="none" w:color="auto"/>
          <w:lang w:eastAsia="zh-CN"/>
        </w:rPr>
        <w:t>（</w:t>
      </w:r>
      <w:r>
        <w:rPr>
          <w:rFonts w:hint="eastAsia" w:ascii="仿宋" w:hAnsi="仿宋" w:eastAsia="仿宋" w:cs="仿宋"/>
          <w:b w:val="0"/>
          <w:bCs w:val="0"/>
          <w:color w:val="auto"/>
          <w:sz w:val="32"/>
          <w:szCs w:val="32"/>
          <w:highlight w:val="none"/>
          <w:u w:val="none" w:color="auto"/>
          <w:lang w:val="en-US" w:eastAsia="zh-CN"/>
        </w:rPr>
        <w:t>1）园区企业环保意识仍需加强。</w:t>
      </w:r>
    </w:p>
    <w:p>
      <w:pPr>
        <w:pStyle w:val="14"/>
        <w:keepNext w:val="0"/>
        <w:keepLines w:val="0"/>
        <w:pageBreakBefore w:val="0"/>
        <w:kinsoku/>
        <w:wordWrap/>
        <w:overflowPunct/>
        <w:topLinePunct w:val="0"/>
        <w:autoSpaceDE/>
        <w:autoSpaceDN/>
        <w:bidi w:val="0"/>
        <w:adjustRightInd/>
        <w:snapToGrid/>
        <w:spacing w:beforeAutospacing="0" w:after="0" w:line="560" w:lineRule="exact"/>
        <w:ind w:left="0" w:leftChars="0" w:firstLine="640" w:firstLineChars="200"/>
        <w:textAlignment w:val="auto"/>
        <w:outlineLvl w:val="9"/>
        <w:rPr>
          <w:rFonts w:hint="default" w:ascii="仿宋" w:hAnsi="仿宋" w:eastAsia="仿宋" w:cs="仿宋"/>
          <w:b w:val="0"/>
          <w:bCs w:val="0"/>
          <w:color w:val="auto"/>
          <w:sz w:val="32"/>
          <w:szCs w:val="32"/>
          <w:highlight w:val="none"/>
          <w:u w:val="none" w:color="auto"/>
          <w:lang w:val="en-US" w:eastAsia="zh-CN"/>
        </w:rPr>
      </w:pPr>
      <w:r>
        <w:rPr>
          <w:rFonts w:hint="eastAsia" w:ascii="仿宋" w:hAnsi="仿宋" w:eastAsia="仿宋" w:cs="仿宋"/>
          <w:b w:val="0"/>
          <w:bCs w:val="0"/>
          <w:color w:val="auto"/>
          <w:sz w:val="32"/>
          <w:szCs w:val="32"/>
          <w:highlight w:val="none"/>
          <w:u w:val="none" w:color="auto"/>
          <w:lang w:val="en-US" w:eastAsia="zh-CN"/>
        </w:rPr>
        <w:t>（2）目前湘西高新区正在与吉首市进行职权移交工作，现阶段园区与吉首市生态环境主管部门衔接较少。</w:t>
      </w:r>
    </w:p>
    <w:p>
      <w:pPr>
        <w:rPr>
          <w:rFonts w:hint="eastAsia" w:ascii="黑体" w:hAnsi="黑体" w:eastAsia="黑体" w:cs="黑体"/>
          <w:color w:val="auto"/>
          <w:sz w:val="32"/>
          <w:szCs w:val="32"/>
          <w:highlight w:val="none"/>
        </w:rPr>
      </w:pPr>
      <w:bookmarkStart w:id="13" w:name="_Toc30386"/>
      <w:r>
        <w:rPr>
          <w:rFonts w:hint="eastAsia" w:ascii="黑体" w:hAnsi="黑体" w:eastAsia="黑体" w:cs="黑体"/>
          <w:color w:val="auto"/>
          <w:sz w:val="32"/>
          <w:szCs w:val="32"/>
          <w:highlight w:val="none"/>
        </w:rPr>
        <w:br w:type="page"/>
      </w:r>
    </w:p>
    <w:p>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五、下一步工作计划</w:t>
      </w:r>
      <w:bookmarkEnd w:id="13"/>
    </w:p>
    <w:bookmarkEnd w:id="0"/>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总体思路：深入贯彻习近平生态文明思想，践行党的二十大报告关于生态环境工作的重要论述，严格落实中央、省、州关于生态环境工作的部署，持续改善园区生态环境质量，牢牢守住环境安全底线，大力推进人民群众密切关注的问题整改，不断满足人民对美好生活的向往，全面推进园区生态建设和经济高质量发展协同并进。</w:t>
      </w:r>
    </w:p>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具体做法为：</w:t>
      </w:r>
    </w:p>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b/>
          <w:bCs/>
          <w:color w:val="auto"/>
          <w:sz w:val="32"/>
          <w:szCs w:val="32"/>
          <w:highlight w:val="none"/>
          <w:u w:val="none" w:color="auto"/>
          <w:lang w:val="en-US" w:eastAsia="zh-CN"/>
        </w:rPr>
      </w:pPr>
      <w:r>
        <w:rPr>
          <w:rFonts w:hint="eastAsia" w:ascii="仿宋" w:hAnsi="仿宋" w:eastAsia="仿宋" w:cs="仿宋"/>
          <w:b/>
          <w:bCs/>
          <w:color w:val="auto"/>
          <w:sz w:val="32"/>
          <w:szCs w:val="32"/>
          <w:highlight w:val="none"/>
          <w:u w:val="none" w:color="auto"/>
        </w:rPr>
        <w:t>（</w:t>
      </w:r>
      <w:r>
        <w:rPr>
          <w:rFonts w:hint="eastAsia" w:ascii="仿宋" w:hAnsi="仿宋" w:eastAsia="仿宋" w:cs="仿宋"/>
          <w:b/>
          <w:bCs/>
          <w:color w:val="auto"/>
          <w:sz w:val="32"/>
          <w:szCs w:val="32"/>
          <w:highlight w:val="none"/>
          <w:u w:val="none" w:color="auto"/>
          <w:lang w:val="en-US" w:eastAsia="zh-CN"/>
        </w:rPr>
        <w:t>1</w:t>
      </w:r>
      <w:r>
        <w:rPr>
          <w:rFonts w:hint="eastAsia" w:ascii="仿宋" w:hAnsi="仿宋" w:eastAsia="仿宋" w:cs="仿宋"/>
          <w:b/>
          <w:bCs/>
          <w:color w:val="auto"/>
          <w:sz w:val="32"/>
          <w:szCs w:val="32"/>
          <w:highlight w:val="none"/>
          <w:u w:val="none" w:color="auto"/>
        </w:rPr>
        <w:t>）</w:t>
      </w:r>
      <w:r>
        <w:rPr>
          <w:rFonts w:hint="eastAsia" w:ascii="仿宋" w:hAnsi="仿宋" w:eastAsia="仿宋" w:cs="仿宋"/>
          <w:b/>
          <w:bCs/>
          <w:color w:val="auto"/>
          <w:sz w:val="32"/>
          <w:szCs w:val="32"/>
          <w:highlight w:val="none"/>
          <w:u w:val="none" w:color="auto"/>
          <w:lang w:val="en-US" w:eastAsia="zh-CN"/>
        </w:rPr>
        <w:t>深入学习贯彻习近平生态文明思想</w:t>
      </w:r>
    </w:p>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color w:val="auto"/>
          <w:sz w:val="32"/>
          <w:szCs w:val="32"/>
          <w:highlight w:val="none"/>
          <w:u w:val="none" w:color="auto"/>
          <w:lang w:val="en-US" w:eastAsia="zh-CN"/>
        </w:rPr>
      </w:pPr>
      <w:r>
        <w:rPr>
          <w:rFonts w:hint="eastAsia" w:ascii="仿宋" w:hAnsi="仿宋" w:eastAsia="仿宋" w:cs="仿宋"/>
          <w:color w:val="auto"/>
          <w:sz w:val="32"/>
          <w:szCs w:val="32"/>
          <w:highlight w:val="none"/>
          <w:u w:val="none" w:color="auto"/>
          <w:lang w:val="en-US" w:eastAsia="zh-CN"/>
        </w:rPr>
        <w:t>始终坚持以习近平新时代中国特色社会主义思想和习近平生态文明思想为指导，牢固树立“绿水青山就是金山银山”理念，严格对标对表中央、省、州相关决策部署，制定贯彻落实方针和措施，奋力在生态文明建设上闯新路，开新局。</w:t>
      </w:r>
    </w:p>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b/>
          <w:bCs/>
          <w:color w:val="auto"/>
          <w:sz w:val="32"/>
          <w:szCs w:val="32"/>
          <w:highlight w:val="none"/>
          <w:u w:val="none" w:color="auto"/>
          <w:lang w:eastAsia="zh-CN"/>
        </w:rPr>
      </w:pPr>
      <w:r>
        <w:rPr>
          <w:rFonts w:hint="eastAsia" w:ascii="仿宋" w:hAnsi="仿宋" w:eastAsia="仿宋" w:cs="仿宋"/>
          <w:b/>
          <w:bCs/>
          <w:color w:val="auto"/>
          <w:sz w:val="32"/>
          <w:szCs w:val="32"/>
          <w:highlight w:val="none"/>
          <w:u w:val="none" w:color="auto"/>
          <w:lang w:eastAsia="zh-CN"/>
        </w:rPr>
        <w:t>（</w:t>
      </w:r>
      <w:r>
        <w:rPr>
          <w:rFonts w:hint="eastAsia" w:ascii="仿宋" w:hAnsi="仿宋" w:eastAsia="仿宋" w:cs="仿宋"/>
          <w:b/>
          <w:bCs/>
          <w:color w:val="auto"/>
          <w:sz w:val="32"/>
          <w:szCs w:val="32"/>
          <w:highlight w:val="none"/>
          <w:u w:val="none" w:color="auto"/>
          <w:lang w:val="en-US" w:eastAsia="zh-CN"/>
        </w:rPr>
        <w:t>2</w:t>
      </w:r>
      <w:r>
        <w:rPr>
          <w:rFonts w:hint="eastAsia" w:ascii="仿宋" w:hAnsi="仿宋" w:eastAsia="仿宋" w:cs="仿宋"/>
          <w:b/>
          <w:bCs/>
          <w:color w:val="auto"/>
          <w:sz w:val="32"/>
          <w:szCs w:val="32"/>
          <w:highlight w:val="none"/>
          <w:u w:val="none" w:color="auto"/>
          <w:lang w:eastAsia="zh-CN"/>
        </w:rPr>
        <w:t>）</w:t>
      </w:r>
      <w:r>
        <w:rPr>
          <w:rFonts w:hint="eastAsia" w:ascii="仿宋" w:hAnsi="仿宋" w:eastAsia="仿宋" w:cs="仿宋"/>
          <w:b/>
          <w:bCs/>
          <w:color w:val="auto"/>
          <w:sz w:val="32"/>
          <w:szCs w:val="32"/>
          <w:highlight w:val="none"/>
          <w:u w:val="none" w:color="auto"/>
          <w:lang w:val="en-US" w:eastAsia="zh-CN"/>
        </w:rPr>
        <w:t>持续打好打实污染防治攻坚战</w:t>
      </w:r>
    </w:p>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color w:val="auto"/>
          <w:sz w:val="32"/>
          <w:szCs w:val="32"/>
          <w:highlight w:val="none"/>
          <w:u w:val="none" w:color="auto"/>
        </w:rPr>
      </w:pPr>
      <w:r>
        <w:rPr>
          <w:rFonts w:hint="eastAsia" w:ascii="仿宋" w:hAnsi="仿宋" w:eastAsia="仿宋" w:cs="仿宋"/>
          <w:color w:val="auto"/>
          <w:sz w:val="32"/>
          <w:szCs w:val="32"/>
          <w:highlight w:val="none"/>
          <w:u w:val="none" w:color="auto"/>
          <w:lang w:val="en-US" w:eastAsia="zh-CN"/>
        </w:rPr>
        <w:t>继续把污染防治攻坚列入党工委、管委会的重要议事日程，进一步提升政治站位，对照近年来中央、省、州环保督察交办或反馈问题以及污染防治攻坚战夏季攻势存在或查摆的问题，尤其是环保基础能力建设、扬尘治理等反复反馈的重点问题，加强自查自纠，防止虚假整改或整改反弹，积极巩固落实。积极解决群众密切关注的生态环境问题，切实提升居民环境质量。</w:t>
      </w:r>
    </w:p>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b/>
          <w:bCs/>
          <w:color w:val="auto"/>
          <w:sz w:val="32"/>
          <w:szCs w:val="32"/>
          <w:highlight w:val="none"/>
          <w:u w:val="none" w:color="auto"/>
          <w:lang w:eastAsia="zh-CN"/>
        </w:rPr>
      </w:pPr>
      <w:r>
        <w:rPr>
          <w:rFonts w:hint="eastAsia" w:ascii="仿宋" w:hAnsi="仿宋" w:eastAsia="仿宋" w:cs="仿宋"/>
          <w:b/>
          <w:bCs/>
          <w:color w:val="auto"/>
          <w:sz w:val="32"/>
          <w:szCs w:val="32"/>
          <w:highlight w:val="none"/>
          <w:u w:val="none" w:color="auto"/>
          <w:lang w:eastAsia="zh-CN"/>
        </w:rPr>
        <w:t>（</w:t>
      </w:r>
      <w:r>
        <w:rPr>
          <w:rFonts w:hint="eastAsia" w:ascii="仿宋" w:hAnsi="仿宋" w:eastAsia="仿宋" w:cs="仿宋"/>
          <w:b/>
          <w:bCs/>
          <w:color w:val="auto"/>
          <w:sz w:val="32"/>
          <w:szCs w:val="32"/>
          <w:highlight w:val="none"/>
          <w:u w:val="none" w:color="auto"/>
          <w:lang w:val="en-US" w:eastAsia="zh-CN"/>
        </w:rPr>
        <w:t>3</w:t>
      </w:r>
      <w:r>
        <w:rPr>
          <w:rFonts w:hint="eastAsia" w:ascii="仿宋" w:hAnsi="仿宋" w:eastAsia="仿宋" w:cs="仿宋"/>
          <w:b/>
          <w:bCs/>
          <w:color w:val="auto"/>
          <w:sz w:val="32"/>
          <w:szCs w:val="32"/>
          <w:highlight w:val="none"/>
          <w:u w:val="none" w:color="auto"/>
          <w:lang w:eastAsia="zh-CN"/>
        </w:rPr>
        <w:t>）</w:t>
      </w:r>
      <w:r>
        <w:rPr>
          <w:rFonts w:hint="eastAsia" w:ascii="仿宋" w:hAnsi="仿宋" w:eastAsia="仿宋" w:cs="仿宋"/>
          <w:b/>
          <w:bCs/>
          <w:color w:val="auto"/>
          <w:sz w:val="32"/>
          <w:szCs w:val="32"/>
          <w:highlight w:val="none"/>
          <w:u w:val="none" w:color="auto"/>
          <w:lang w:val="en-US" w:eastAsia="zh-CN"/>
        </w:rPr>
        <w:t>理顺园区生态环境保护管理体制机制</w:t>
      </w:r>
    </w:p>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color w:val="auto"/>
          <w:sz w:val="32"/>
          <w:szCs w:val="32"/>
          <w:highlight w:val="none"/>
          <w:u w:val="none" w:color="auto"/>
        </w:rPr>
      </w:pPr>
      <w:r>
        <w:rPr>
          <w:rFonts w:hint="eastAsia" w:ascii="仿宋" w:hAnsi="仿宋" w:eastAsia="仿宋" w:cs="仿宋"/>
          <w:color w:val="auto"/>
          <w:sz w:val="32"/>
          <w:szCs w:val="32"/>
          <w:highlight w:val="none"/>
          <w:u w:val="none" w:color="auto"/>
          <w:lang w:val="en-US" w:eastAsia="zh-CN"/>
        </w:rPr>
        <w:t>加强与上级环保部门及湘西州生态环境局吉首分局的工作对接，促进园区各部门工作协同联动，建立园区“大环保”治理格局。着力把好项目入区环评关，注重源头把控，抓好建设项目环境管理，加大环境影响评价执行力度，抓好项目入区环评关。</w:t>
      </w:r>
    </w:p>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b/>
          <w:bCs/>
          <w:color w:val="auto"/>
          <w:sz w:val="32"/>
          <w:szCs w:val="32"/>
          <w:highlight w:val="none"/>
          <w:u w:val="none" w:color="auto"/>
          <w:lang w:eastAsia="zh-CN"/>
        </w:rPr>
      </w:pPr>
      <w:r>
        <w:rPr>
          <w:rFonts w:hint="eastAsia" w:ascii="仿宋" w:hAnsi="仿宋" w:eastAsia="仿宋" w:cs="仿宋"/>
          <w:b/>
          <w:bCs/>
          <w:color w:val="auto"/>
          <w:sz w:val="32"/>
          <w:szCs w:val="32"/>
          <w:highlight w:val="none"/>
          <w:u w:val="none" w:color="auto"/>
          <w:lang w:eastAsia="zh-CN"/>
        </w:rPr>
        <w:t>（</w:t>
      </w:r>
      <w:r>
        <w:rPr>
          <w:rFonts w:hint="eastAsia" w:ascii="仿宋" w:hAnsi="仿宋" w:eastAsia="仿宋" w:cs="仿宋"/>
          <w:b/>
          <w:bCs/>
          <w:color w:val="auto"/>
          <w:sz w:val="32"/>
          <w:szCs w:val="32"/>
          <w:highlight w:val="none"/>
          <w:u w:val="none" w:color="auto"/>
          <w:lang w:val="en-US" w:eastAsia="zh-CN"/>
        </w:rPr>
        <w:t>4</w:t>
      </w:r>
      <w:r>
        <w:rPr>
          <w:rFonts w:hint="eastAsia" w:ascii="仿宋" w:hAnsi="仿宋" w:eastAsia="仿宋" w:cs="仿宋"/>
          <w:b/>
          <w:bCs/>
          <w:color w:val="auto"/>
          <w:sz w:val="32"/>
          <w:szCs w:val="32"/>
          <w:highlight w:val="none"/>
          <w:u w:val="none" w:color="auto"/>
          <w:lang w:eastAsia="zh-CN"/>
        </w:rPr>
        <w:t>）</w:t>
      </w:r>
      <w:r>
        <w:rPr>
          <w:rFonts w:hint="eastAsia" w:ascii="仿宋" w:hAnsi="仿宋" w:eastAsia="仿宋" w:cs="仿宋"/>
          <w:b/>
          <w:bCs/>
          <w:color w:val="auto"/>
          <w:sz w:val="32"/>
          <w:szCs w:val="32"/>
          <w:highlight w:val="none"/>
          <w:u w:val="none" w:color="auto"/>
          <w:lang w:val="en-US" w:eastAsia="zh-CN"/>
        </w:rPr>
        <w:t>推动绿色产业集群高质量发展</w:t>
      </w:r>
    </w:p>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color w:val="auto"/>
          <w:sz w:val="32"/>
          <w:szCs w:val="32"/>
          <w:highlight w:val="none"/>
          <w:u w:val="none" w:color="auto"/>
        </w:rPr>
      </w:pPr>
      <w:r>
        <w:rPr>
          <w:rFonts w:hint="eastAsia" w:ascii="仿宋" w:hAnsi="仿宋" w:eastAsia="仿宋" w:cs="仿宋"/>
          <w:color w:val="auto"/>
          <w:szCs w:val="32"/>
          <w:highlight w:val="none"/>
          <w:lang w:val="en-US" w:eastAsia="zh-CN"/>
        </w:rPr>
        <w:t>围绕“一主两特一配套”产业体系，补全园区绿色产业拼图，加快协调重点绿色产业项目投产。精准服务，推动生物医药、生态旅游、大健康产业发展，全面推进生态建设和经济高质量发展协同并进，探索园区绿色发展的新路子。</w:t>
      </w:r>
    </w:p>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color w:val="auto"/>
          <w:sz w:val="32"/>
          <w:szCs w:val="32"/>
          <w:highlight w:val="none"/>
          <w:u w:val="none" w:color="auto"/>
        </w:rPr>
      </w:pPr>
    </w:p>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color w:val="auto"/>
          <w:sz w:val="32"/>
          <w:szCs w:val="32"/>
          <w:highlight w:val="none"/>
          <w:u w:val="none" w:color="auto"/>
        </w:rPr>
      </w:pPr>
      <w:r>
        <w:rPr>
          <w:rFonts w:hint="eastAsia" w:ascii="仿宋" w:hAnsi="仿宋" w:eastAsia="仿宋" w:cs="仿宋"/>
          <w:color w:val="auto"/>
          <w:sz w:val="32"/>
          <w:szCs w:val="32"/>
          <w:highlight w:val="none"/>
          <w:u w:val="none" w:color="auto"/>
        </w:rPr>
        <w:t>附表：园区年度报告表格</w:t>
      </w:r>
    </w:p>
    <w:p>
      <w:pPr>
        <w:pStyle w:val="14"/>
        <w:keepNext w:val="0"/>
        <w:keepLines w:val="0"/>
        <w:pageBreakBefore w:val="0"/>
        <w:kinsoku/>
        <w:wordWrap/>
        <w:overflowPunct/>
        <w:topLinePunct w:val="0"/>
        <w:autoSpaceDE/>
        <w:autoSpaceDN/>
        <w:bidi w:val="0"/>
        <w:spacing w:after="0" w:line="560" w:lineRule="exact"/>
        <w:ind w:left="560" w:firstLine="643"/>
        <w:textAlignment w:val="auto"/>
        <w:outlineLvl w:val="9"/>
        <w:rPr>
          <w:rFonts w:hint="eastAsia" w:ascii="仿宋" w:hAnsi="仿宋" w:eastAsia="仿宋" w:cs="仿宋"/>
          <w:color w:val="auto"/>
          <w:szCs w:val="32"/>
          <w:highlight w:val="none"/>
          <w:u w:val="none" w:color="auto"/>
        </w:rPr>
      </w:pPr>
    </w:p>
    <w:p>
      <w:pPr>
        <w:pStyle w:val="14"/>
        <w:keepNext w:val="0"/>
        <w:keepLines w:val="0"/>
        <w:pageBreakBefore w:val="0"/>
        <w:kinsoku/>
        <w:wordWrap/>
        <w:overflowPunct/>
        <w:topLinePunct w:val="0"/>
        <w:autoSpaceDE/>
        <w:autoSpaceDN/>
        <w:bidi w:val="0"/>
        <w:spacing w:after="0" w:line="560" w:lineRule="exact"/>
        <w:ind w:left="0" w:leftChars="0" w:firstLine="0" w:firstLineChars="0"/>
        <w:jc w:val="right"/>
        <w:textAlignment w:val="auto"/>
        <w:outlineLvl w:val="9"/>
        <w:rPr>
          <w:rFonts w:hint="eastAsia" w:ascii="仿宋" w:hAnsi="仿宋" w:eastAsia="仿宋" w:cs="仿宋"/>
          <w:color w:val="auto"/>
          <w:sz w:val="32"/>
          <w:szCs w:val="32"/>
          <w:highlight w:val="none"/>
          <w:u w:val="none" w:color="auto"/>
        </w:rPr>
      </w:pPr>
      <w:r>
        <w:rPr>
          <w:rFonts w:hint="eastAsia" w:ascii="仿宋" w:hAnsi="仿宋" w:eastAsia="仿宋" w:cs="仿宋"/>
          <w:color w:val="auto"/>
          <w:spacing w:val="28"/>
          <w:sz w:val="32"/>
          <w:szCs w:val="32"/>
          <w:highlight w:val="none"/>
          <w:u w:val="none" w:color="auto"/>
          <w:lang w:eastAsia="zh-CN"/>
        </w:rPr>
        <w:t>湘西高新</w:t>
      </w:r>
      <w:r>
        <w:rPr>
          <w:rFonts w:hint="eastAsia" w:ascii="仿宋" w:hAnsi="仿宋" w:eastAsia="仿宋" w:cs="仿宋"/>
          <w:color w:val="auto"/>
          <w:spacing w:val="28"/>
          <w:sz w:val="32"/>
          <w:szCs w:val="32"/>
          <w:highlight w:val="none"/>
          <w:u w:val="none" w:color="auto"/>
          <w:lang w:val="en-US" w:eastAsia="zh-CN"/>
        </w:rPr>
        <w:t>技术产业开发区</w:t>
      </w:r>
      <w:r>
        <w:rPr>
          <w:rFonts w:hint="eastAsia" w:ascii="仿宋" w:hAnsi="仿宋" w:eastAsia="仿宋" w:cs="仿宋"/>
          <w:color w:val="auto"/>
          <w:sz w:val="32"/>
          <w:szCs w:val="32"/>
          <w:highlight w:val="none"/>
          <w:u w:val="none" w:color="auto"/>
        </w:rPr>
        <w:t>管委会</w:t>
      </w:r>
    </w:p>
    <w:p>
      <w:pPr>
        <w:pStyle w:val="14"/>
        <w:keepNext w:val="0"/>
        <w:keepLines w:val="0"/>
        <w:pageBreakBefore w:val="0"/>
        <w:kinsoku/>
        <w:wordWrap/>
        <w:overflowPunct/>
        <w:topLinePunct w:val="0"/>
        <w:autoSpaceDE/>
        <w:autoSpaceDN/>
        <w:bidi w:val="0"/>
        <w:spacing w:after="0" w:line="560" w:lineRule="exact"/>
        <w:ind w:left="0" w:leftChars="0" w:firstLine="643"/>
        <w:textAlignment w:val="auto"/>
        <w:outlineLvl w:val="9"/>
        <w:rPr>
          <w:rFonts w:hint="eastAsia" w:ascii="仿宋" w:hAnsi="仿宋" w:eastAsia="仿宋" w:cs="仿宋"/>
          <w:color w:val="auto"/>
          <w:sz w:val="32"/>
          <w:szCs w:val="32"/>
          <w:highlight w:val="none"/>
          <w:u w:val="none" w:color="auto"/>
        </w:rPr>
      </w:pPr>
      <w:r>
        <w:rPr>
          <w:rFonts w:hint="eastAsia" w:ascii="仿宋" w:hAnsi="仿宋" w:eastAsia="仿宋" w:cs="仿宋"/>
          <w:color w:val="auto"/>
          <w:sz w:val="32"/>
          <w:szCs w:val="32"/>
          <w:highlight w:val="none"/>
          <w:u w:val="none" w:color="auto"/>
        </w:rPr>
        <w:t xml:space="preserve">                            </w:t>
      </w:r>
      <w:r>
        <w:rPr>
          <w:rFonts w:hint="eastAsia" w:ascii="仿宋" w:hAnsi="仿宋" w:eastAsia="仿宋" w:cs="仿宋"/>
          <w:color w:val="auto"/>
          <w:sz w:val="32"/>
          <w:szCs w:val="32"/>
          <w:highlight w:val="none"/>
          <w:u w:val="none" w:color="auto"/>
          <w:lang w:val="en-US" w:eastAsia="zh-CN"/>
        </w:rPr>
        <w:t>2026</w:t>
      </w:r>
      <w:r>
        <w:rPr>
          <w:rFonts w:hint="eastAsia" w:ascii="仿宋" w:hAnsi="仿宋" w:eastAsia="仿宋" w:cs="仿宋"/>
          <w:color w:val="auto"/>
          <w:sz w:val="32"/>
          <w:szCs w:val="32"/>
          <w:highlight w:val="none"/>
          <w:u w:val="none" w:color="auto"/>
        </w:rPr>
        <w:t>年</w:t>
      </w:r>
      <w:r>
        <w:rPr>
          <w:rFonts w:hint="eastAsia" w:ascii="仿宋" w:hAnsi="仿宋" w:eastAsia="仿宋" w:cs="仿宋"/>
          <w:color w:val="auto"/>
          <w:sz w:val="32"/>
          <w:szCs w:val="32"/>
          <w:highlight w:val="none"/>
          <w:u w:val="none" w:color="auto"/>
          <w:lang w:val="en-US" w:eastAsia="zh-CN"/>
        </w:rPr>
        <w:t>10</w:t>
      </w:r>
      <w:r>
        <w:rPr>
          <w:rFonts w:hint="eastAsia" w:ascii="仿宋" w:hAnsi="仿宋" w:eastAsia="仿宋" w:cs="仿宋"/>
          <w:color w:val="auto"/>
          <w:sz w:val="32"/>
          <w:szCs w:val="32"/>
          <w:highlight w:val="none"/>
          <w:u w:val="none" w:color="auto"/>
        </w:rPr>
        <w:t>月</w:t>
      </w:r>
      <w:r>
        <w:rPr>
          <w:rFonts w:hint="eastAsia" w:ascii="仿宋" w:hAnsi="仿宋" w:eastAsia="仿宋" w:cs="仿宋"/>
          <w:color w:val="auto"/>
          <w:sz w:val="32"/>
          <w:szCs w:val="32"/>
          <w:highlight w:val="none"/>
          <w:u w:val="none" w:color="auto"/>
          <w:lang w:val="en-US" w:eastAsia="zh-CN"/>
        </w:rPr>
        <w:t>20</w:t>
      </w:r>
      <w:r>
        <w:rPr>
          <w:rFonts w:hint="eastAsia" w:ascii="仿宋" w:hAnsi="仿宋" w:eastAsia="仿宋" w:cs="仿宋"/>
          <w:color w:val="auto"/>
          <w:sz w:val="32"/>
          <w:szCs w:val="32"/>
          <w:highlight w:val="none"/>
          <w:u w:val="none" w:color="auto"/>
        </w:rPr>
        <w:t>日</w:t>
      </w:r>
    </w:p>
    <w:sectPr>
      <w:footerReference r:id="rId7" w:type="default"/>
      <w:pgSz w:w="11906" w:h="16838"/>
      <w:pgMar w:top="1440" w:right="1800" w:bottom="1440" w:left="1800" w:header="851" w:footer="992" w:gutter="0"/>
      <w:pgNumType w:fmt="numberInDash" w:start="14"/>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88"/>
    <w:family w:val="modern"/>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Times New Roman" w:hAnsi="Times New Roman" w:cs="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Times New Roman" w:hAnsi="Times New Roman" w:cs="Times New Roman"/>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Times New Roman" w:hAnsi="Times New Roman" w:cs="Times New Roman"/>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- 1 -</w:t>
                    </w:r>
                    <w:r>
                      <w:fldChar w:fldCharType="end"/>
                    </w:r>
                  </w:p>
                </w:txbxContent>
              </v:textbox>
            </v:shape>
          </w:pict>
        </mc:Fallback>
      </mc:AlternateContent>
    </w: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jc w:val="cente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8"/>
                      <w:jc w:val="cente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rPr>
        <w:rFonts w:ascii="Times New Roman" w:hAnsi="Times New Roman" w:cs="Times New Roman"/>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- 1 -</w:t>
                    </w:r>
                    <w:r>
                      <w:fldChar w:fldCharType="end"/>
                    </w:r>
                  </w:p>
                </w:txbxContent>
              </v:textbox>
            </v:shap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jc w:val="cente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8"/>
                      <w:jc w:val="cente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rPr>
        <w:rFonts w:ascii="Times New Roman" w:hAnsi="Times New Roman" w:cs="Times New Roman"/>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- 1 -</w:t>
                    </w:r>
                    <w:r>
                      <w:fldChar w:fldCharType="end"/>
                    </w:r>
                  </w:p>
                </w:txbxContent>
              </v:textbox>
            </v:shape>
          </w:pict>
        </mc:Fallback>
      </mc:AlternateContent>
    </w: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jc w:val="cente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8"/>
                      <w:jc w:val="cente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9F75CD"/>
    <w:multiLevelType w:val="singleLevel"/>
    <w:tmpl w:val="4B9F75C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false"/>
  <w:bordersDoNotSurroundFooter w:val="false"/>
  <w:documentProtection w:edit="trackedChanges"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hkY2RhZTRiYjI0MjBiNDE0ODdkZTYxZTI3MzE4OTkifQ=="/>
  </w:docVars>
  <w:rsids>
    <w:rsidRoot w:val="00A07498"/>
    <w:rsid w:val="00006D23"/>
    <w:rsid w:val="00033480"/>
    <w:rsid w:val="00092D51"/>
    <w:rsid w:val="000A0B92"/>
    <w:rsid w:val="000D0729"/>
    <w:rsid w:val="00101EBB"/>
    <w:rsid w:val="0011725E"/>
    <w:rsid w:val="001523F0"/>
    <w:rsid w:val="001770AF"/>
    <w:rsid w:val="00235968"/>
    <w:rsid w:val="00235D91"/>
    <w:rsid w:val="00286D44"/>
    <w:rsid w:val="002D3950"/>
    <w:rsid w:val="003023F5"/>
    <w:rsid w:val="00352F7F"/>
    <w:rsid w:val="003824C5"/>
    <w:rsid w:val="00384FCB"/>
    <w:rsid w:val="003A00F3"/>
    <w:rsid w:val="003F1892"/>
    <w:rsid w:val="003F3C1D"/>
    <w:rsid w:val="003F7F6A"/>
    <w:rsid w:val="00425ECB"/>
    <w:rsid w:val="0043318C"/>
    <w:rsid w:val="00442622"/>
    <w:rsid w:val="004456EC"/>
    <w:rsid w:val="00471E73"/>
    <w:rsid w:val="004F31A9"/>
    <w:rsid w:val="00506CDE"/>
    <w:rsid w:val="0057187C"/>
    <w:rsid w:val="00580EDD"/>
    <w:rsid w:val="0058707D"/>
    <w:rsid w:val="005A4F49"/>
    <w:rsid w:val="005B5568"/>
    <w:rsid w:val="005C4119"/>
    <w:rsid w:val="005D4A37"/>
    <w:rsid w:val="006065E6"/>
    <w:rsid w:val="0061758C"/>
    <w:rsid w:val="00650C76"/>
    <w:rsid w:val="00694C70"/>
    <w:rsid w:val="006D17EC"/>
    <w:rsid w:val="006D249E"/>
    <w:rsid w:val="006E0B40"/>
    <w:rsid w:val="00706767"/>
    <w:rsid w:val="00743D0F"/>
    <w:rsid w:val="00753B33"/>
    <w:rsid w:val="007707A4"/>
    <w:rsid w:val="00772C78"/>
    <w:rsid w:val="007D6DF6"/>
    <w:rsid w:val="007E56A4"/>
    <w:rsid w:val="007F2DF5"/>
    <w:rsid w:val="00812A97"/>
    <w:rsid w:val="008220B5"/>
    <w:rsid w:val="00826DDB"/>
    <w:rsid w:val="008420C1"/>
    <w:rsid w:val="00845A70"/>
    <w:rsid w:val="008563FB"/>
    <w:rsid w:val="008659F5"/>
    <w:rsid w:val="0087677B"/>
    <w:rsid w:val="00885398"/>
    <w:rsid w:val="008B4B10"/>
    <w:rsid w:val="008C2D63"/>
    <w:rsid w:val="008F0F88"/>
    <w:rsid w:val="00923410"/>
    <w:rsid w:val="00941F45"/>
    <w:rsid w:val="00993FFC"/>
    <w:rsid w:val="00A0532B"/>
    <w:rsid w:val="00A07498"/>
    <w:rsid w:val="00A535C0"/>
    <w:rsid w:val="00A71DB5"/>
    <w:rsid w:val="00A93594"/>
    <w:rsid w:val="00A96BA8"/>
    <w:rsid w:val="00AA4FA7"/>
    <w:rsid w:val="00AD1715"/>
    <w:rsid w:val="00B27D8C"/>
    <w:rsid w:val="00B73950"/>
    <w:rsid w:val="00BA0D92"/>
    <w:rsid w:val="00C05DEB"/>
    <w:rsid w:val="00C22990"/>
    <w:rsid w:val="00C32DD5"/>
    <w:rsid w:val="00C36F87"/>
    <w:rsid w:val="00C44696"/>
    <w:rsid w:val="00C764FD"/>
    <w:rsid w:val="00CF29F2"/>
    <w:rsid w:val="00D30457"/>
    <w:rsid w:val="00D334CF"/>
    <w:rsid w:val="00D761A8"/>
    <w:rsid w:val="00D76307"/>
    <w:rsid w:val="00D86BB7"/>
    <w:rsid w:val="00DA6885"/>
    <w:rsid w:val="00E60C94"/>
    <w:rsid w:val="00E64AEC"/>
    <w:rsid w:val="00E65F04"/>
    <w:rsid w:val="00E6717B"/>
    <w:rsid w:val="00E67F7F"/>
    <w:rsid w:val="00E91E16"/>
    <w:rsid w:val="00E945E2"/>
    <w:rsid w:val="00EB596F"/>
    <w:rsid w:val="00F30FCB"/>
    <w:rsid w:val="00F40E74"/>
    <w:rsid w:val="00F90C5F"/>
    <w:rsid w:val="00FA0C60"/>
    <w:rsid w:val="00FA2CE6"/>
    <w:rsid w:val="00FB6939"/>
    <w:rsid w:val="00FC352A"/>
    <w:rsid w:val="00FE0D83"/>
    <w:rsid w:val="00FF70D7"/>
    <w:rsid w:val="0124146F"/>
    <w:rsid w:val="016B5A03"/>
    <w:rsid w:val="01F41B85"/>
    <w:rsid w:val="02740815"/>
    <w:rsid w:val="02DE3352"/>
    <w:rsid w:val="031421DC"/>
    <w:rsid w:val="03893407"/>
    <w:rsid w:val="04292015"/>
    <w:rsid w:val="04CD2E69"/>
    <w:rsid w:val="052C0E3F"/>
    <w:rsid w:val="05AD45F6"/>
    <w:rsid w:val="064D08FF"/>
    <w:rsid w:val="06976AC1"/>
    <w:rsid w:val="07563FF1"/>
    <w:rsid w:val="079444BF"/>
    <w:rsid w:val="081F30C1"/>
    <w:rsid w:val="086769B5"/>
    <w:rsid w:val="088E2AB4"/>
    <w:rsid w:val="091E12D9"/>
    <w:rsid w:val="0A462035"/>
    <w:rsid w:val="0BC62A15"/>
    <w:rsid w:val="0C031DB4"/>
    <w:rsid w:val="0C8517AE"/>
    <w:rsid w:val="0F743702"/>
    <w:rsid w:val="0F7C3146"/>
    <w:rsid w:val="0F82620B"/>
    <w:rsid w:val="0FC07D77"/>
    <w:rsid w:val="10571BBC"/>
    <w:rsid w:val="136C2CC2"/>
    <w:rsid w:val="14B86DC4"/>
    <w:rsid w:val="15F57363"/>
    <w:rsid w:val="169819B4"/>
    <w:rsid w:val="17FB1BA0"/>
    <w:rsid w:val="19304820"/>
    <w:rsid w:val="19790228"/>
    <w:rsid w:val="1BEF2D27"/>
    <w:rsid w:val="1C956BDC"/>
    <w:rsid w:val="1DD56B5E"/>
    <w:rsid w:val="1E573C9F"/>
    <w:rsid w:val="1ECA0FBD"/>
    <w:rsid w:val="206B06C0"/>
    <w:rsid w:val="20D02033"/>
    <w:rsid w:val="21B434DF"/>
    <w:rsid w:val="22154E1B"/>
    <w:rsid w:val="2305065A"/>
    <w:rsid w:val="23423E86"/>
    <w:rsid w:val="23583762"/>
    <w:rsid w:val="239A6BC4"/>
    <w:rsid w:val="23BF7940"/>
    <w:rsid w:val="24073FE3"/>
    <w:rsid w:val="24CD4BDE"/>
    <w:rsid w:val="24DC52E4"/>
    <w:rsid w:val="25101551"/>
    <w:rsid w:val="257C557F"/>
    <w:rsid w:val="26124415"/>
    <w:rsid w:val="26A54A31"/>
    <w:rsid w:val="26DF627D"/>
    <w:rsid w:val="27502468"/>
    <w:rsid w:val="27710444"/>
    <w:rsid w:val="27A33375"/>
    <w:rsid w:val="27DF6F58"/>
    <w:rsid w:val="28053F0E"/>
    <w:rsid w:val="28B85261"/>
    <w:rsid w:val="298D4A98"/>
    <w:rsid w:val="2A09566D"/>
    <w:rsid w:val="2C9B9E0C"/>
    <w:rsid w:val="2D9D06E4"/>
    <w:rsid w:val="2E2F5C7F"/>
    <w:rsid w:val="2E375E90"/>
    <w:rsid w:val="2EDC4FC4"/>
    <w:rsid w:val="2F12441C"/>
    <w:rsid w:val="30122F6E"/>
    <w:rsid w:val="301673E6"/>
    <w:rsid w:val="30507E04"/>
    <w:rsid w:val="3119524D"/>
    <w:rsid w:val="319C2286"/>
    <w:rsid w:val="323703B5"/>
    <w:rsid w:val="323E25BA"/>
    <w:rsid w:val="32681071"/>
    <w:rsid w:val="33123F15"/>
    <w:rsid w:val="33E910BD"/>
    <w:rsid w:val="341076EC"/>
    <w:rsid w:val="3419617C"/>
    <w:rsid w:val="34967EA3"/>
    <w:rsid w:val="34B478D7"/>
    <w:rsid w:val="354E41DB"/>
    <w:rsid w:val="359B740A"/>
    <w:rsid w:val="36892D2E"/>
    <w:rsid w:val="37180145"/>
    <w:rsid w:val="39742B18"/>
    <w:rsid w:val="39BC5A57"/>
    <w:rsid w:val="39E84D6F"/>
    <w:rsid w:val="39F053D1"/>
    <w:rsid w:val="3A333DCC"/>
    <w:rsid w:val="3A5879E7"/>
    <w:rsid w:val="3A8D65D9"/>
    <w:rsid w:val="3A9B533C"/>
    <w:rsid w:val="3AC157FE"/>
    <w:rsid w:val="3AD73FBC"/>
    <w:rsid w:val="3B6F65DB"/>
    <w:rsid w:val="3C03033D"/>
    <w:rsid w:val="3C7C7425"/>
    <w:rsid w:val="3C914BC6"/>
    <w:rsid w:val="3E2264D3"/>
    <w:rsid w:val="3F11093F"/>
    <w:rsid w:val="3F374B19"/>
    <w:rsid w:val="3F587CDB"/>
    <w:rsid w:val="4068461E"/>
    <w:rsid w:val="40715B14"/>
    <w:rsid w:val="40903735"/>
    <w:rsid w:val="40D97280"/>
    <w:rsid w:val="42070DF0"/>
    <w:rsid w:val="42AC7C32"/>
    <w:rsid w:val="43046F38"/>
    <w:rsid w:val="43235A82"/>
    <w:rsid w:val="434D2D69"/>
    <w:rsid w:val="43995F2A"/>
    <w:rsid w:val="452C3C96"/>
    <w:rsid w:val="459B211B"/>
    <w:rsid w:val="45F25BBA"/>
    <w:rsid w:val="46470064"/>
    <w:rsid w:val="46B308E1"/>
    <w:rsid w:val="46E64D11"/>
    <w:rsid w:val="47AF258A"/>
    <w:rsid w:val="47E21D02"/>
    <w:rsid w:val="4800556C"/>
    <w:rsid w:val="48A76115"/>
    <w:rsid w:val="4A480F6C"/>
    <w:rsid w:val="4B6A38AC"/>
    <w:rsid w:val="4BC42C29"/>
    <w:rsid w:val="4C710F17"/>
    <w:rsid w:val="4D4964A5"/>
    <w:rsid w:val="4D6A2CF5"/>
    <w:rsid w:val="4EE54797"/>
    <w:rsid w:val="4F035350"/>
    <w:rsid w:val="4F4D58A1"/>
    <w:rsid w:val="4FA109E7"/>
    <w:rsid w:val="4FCE73B7"/>
    <w:rsid w:val="50083C27"/>
    <w:rsid w:val="51B113F5"/>
    <w:rsid w:val="51ED7B3C"/>
    <w:rsid w:val="52D00DFE"/>
    <w:rsid w:val="52D55BF7"/>
    <w:rsid w:val="53ED003E"/>
    <w:rsid w:val="54B31911"/>
    <w:rsid w:val="55381B53"/>
    <w:rsid w:val="55846B9E"/>
    <w:rsid w:val="56553E52"/>
    <w:rsid w:val="592025F8"/>
    <w:rsid w:val="59774600"/>
    <w:rsid w:val="59E07F47"/>
    <w:rsid w:val="59FB3809"/>
    <w:rsid w:val="5ABF04BC"/>
    <w:rsid w:val="5B4202CC"/>
    <w:rsid w:val="5B461B6B"/>
    <w:rsid w:val="5B5951C1"/>
    <w:rsid w:val="5C605467"/>
    <w:rsid w:val="5C801C72"/>
    <w:rsid w:val="5DD463E7"/>
    <w:rsid w:val="5E127950"/>
    <w:rsid w:val="5E503518"/>
    <w:rsid w:val="5E6B0686"/>
    <w:rsid w:val="5FD93B1F"/>
    <w:rsid w:val="600E5283"/>
    <w:rsid w:val="601D328E"/>
    <w:rsid w:val="60DA174A"/>
    <w:rsid w:val="623F4168"/>
    <w:rsid w:val="63140E33"/>
    <w:rsid w:val="633B667E"/>
    <w:rsid w:val="64085B12"/>
    <w:rsid w:val="645021D7"/>
    <w:rsid w:val="655D305B"/>
    <w:rsid w:val="658D4468"/>
    <w:rsid w:val="6632531A"/>
    <w:rsid w:val="667C1832"/>
    <w:rsid w:val="66E85F77"/>
    <w:rsid w:val="673E5965"/>
    <w:rsid w:val="674405E3"/>
    <w:rsid w:val="676656CF"/>
    <w:rsid w:val="68D7063C"/>
    <w:rsid w:val="69BD1253"/>
    <w:rsid w:val="69E37619"/>
    <w:rsid w:val="6A9B3383"/>
    <w:rsid w:val="6ACE55D2"/>
    <w:rsid w:val="6B3175EE"/>
    <w:rsid w:val="6C1A2BE6"/>
    <w:rsid w:val="6C4340E9"/>
    <w:rsid w:val="6D2445E4"/>
    <w:rsid w:val="6D437036"/>
    <w:rsid w:val="6E333647"/>
    <w:rsid w:val="6E3C7818"/>
    <w:rsid w:val="6E436AB3"/>
    <w:rsid w:val="6EDB5DB6"/>
    <w:rsid w:val="6F035976"/>
    <w:rsid w:val="6F592343"/>
    <w:rsid w:val="70EA0912"/>
    <w:rsid w:val="719721EE"/>
    <w:rsid w:val="72040B95"/>
    <w:rsid w:val="735A480A"/>
    <w:rsid w:val="7380576C"/>
    <w:rsid w:val="74D45750"/>
    <w:rsid w:val="75E4370F"/>
    <w:rsid w:val="766B2E89"/>
    <w:rsid w:val="77056F0A"/>
    <w:rsid w:val="774D3A7A"/>
    <w:rsid w:val="777B0CA9"/>
    <w:rsid w:val="77F262EC"/>
    <w:rsid w:val="781310CD"/>
    <w:rsid w:val="794412FF"/>
    <w:rsid w:val="7AF65AA6"/>
    <w:rsid w:val="7B08648E"/>
    <w:rsid w:val="7B3C2A12"/>
    <w:rsid w:val="7B764324"/>
    <w:rsid w:val="7B8D3E70"/>
    <w:rsid w:val="7BE177CE"/>
    <w:rsid w:val="7C1E72A8"/>
    <w:rsid w:val="7E9207FD"/>
    <w:rsid w:val="7E9B616C"/>
    <w:rsid w:val="7EEF33BD"/>
    <w:rsid w:val="7FEC227A"/>
    <w:rsid w:val="7FF71173"/>
    <w:rsid w:val="A77DAF02"/>
    <w:rsid w:val="D7A7F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8"/>
      <w:szCs w:val="22"/>
      <w:lang w:val="en-US" w:eastAsia="zh-CN" w:bidi="ar-SA"/>
    </w:rPr>
  </w:style>
  <w:style w:type="paragraph" w:styleId="2">
    <w:name w:val="heading 1"/>
    <w:basedOn w:val="1"/>
    <w:next w:val="1"/>
    <w:link w:val="44"/>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17">
    <w:name w:val="Default Paragraph Font"/>
    <w:semiHidden/>
    <w:unhideWhenUsed/>
    <w:qFormat/>
    <w:uiPriority w:val="1"/>
  </w:style>
  <w:style w:type="table" w:default="1" w:styleId="1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Normal Indent"/>
    <w:basedOn w:val="1"/>
    <w:next w:val="1"/>
    <w:qFormat/>
    <w:uiPriority w:val="0"/>
    <w:pPr>
      <w:spacing w:line="360" w:lineRule="auto"/>
      <w:ind w:firstLine="420" w:firstLineChars="200"/>
      <w:jc w:val="left"/>
    </w:pPr>
    <w:rPr>
      <w:rFonts w:cs="Times New Roman"/>
      <w:sz w:val="24"/>
      <w:szCs w:val="24"/>
    </w:rPr>
  </w:style>
  <w:style w:type="paragraph" w:styleId="4">
    <w:name w:val="annotation text"/>
    <w:basedOn w:val="1"/>
    <w:semiHidden/>
    <w:unhideWhenUsed/>
    <w:qFormat/>
    <w:uiPriority w:val="99"/>
    <w:pPr>
      <w:jc w:val="left"/>
    </w:pPr>
  </w:style>
  <w:style w:type="paragraph" w:styleId="5">
    <w:name w:val="Body Text"/>
    <w:basedOn w:val="1"/>
    <w:next w:val="1"/>
    <w:unhideWhenUsed/>
    <w:qFormat/>
    <w:uiPriority w:val="99"/>
    <w:pPr>
      <w:spacing w:after="120"/>
    </w:pPr>
  </w:style>
  <w:style w:type="paragraph" w:styleId="6">
    <w:name w:val="Body Text Indent"/>
    <w:basedOn w:val="1"/>
    <w:unhideWhenUsed/>
    <w:qFormat/>
    <w:uiPriority w:val="99"/>
    <w:pPr>
      <w:spacing w:after="120"/>
      <w:ind w:left="420" w:leftChars="200"/>
    </w:pPr>
  </w:style>
  <w:style w:type="paragraph" w:styleId="7">
    <w:name w:val="Balloon Text"/>
    <w:basedOn w:val="1"/>
    <w:link w:val="30"/>
    <w:semiHidden/>
    <w:unhideWhenUsed/>
    <w:qFormat/>
    <w:uiPriority w:val="99"/>
    <w:rPr>
      <w:sz w:val="18"/>
      <w:szCs w:val="18"/>
    </w:rPr>
  </w:style>
  <w:style w:type="paragraph" w:styleId="8">
    <w:name w:val="footer"/>
    <w:basedOn w:val="1"/>
    <w:link w:val="24"/>
    <w:unhideWhenUsed/>
    <w:qFormat/>
    <w:uiPriority w:val="0"/>
    <w:pPr>
      <w:tabs>
        <w:tab w:val="center" w:pos="4153"/>
        <w:tab w:val="right" w:pos="8306"/>
      </w:tabs>
      <w:snapToGrid w:val="0"/>
      <w:jc w:val="left"/>
    </w:pPr>
    <w:rPr>
      <w:sz w:val="18"/>
      <w:szCs w:val="18"/>
    </w:rPr>
  </w:style>
  <w:style w:type="paragraph" w:styleId="9">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toc 2"/>
    <w:basedOn w:val="1"/>
    <w:next w:val="1"/>
    <w:unhideWhenUsed/>
    <w:qFormat/>
    <w:uiPriority w:val="39"/>
    <w:pPr>
      <w:ind w:left="420" w:leftChars="200"/>
    </w:pPr>
  </w:style>
  <w:style w:type="paragraph" w:styleId="1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ind w:firstLine="420" w:firstLineChars="100"/>
    </w:pPr>
  </w:style>
  <w:style w:type="paragraph" w:styleId="14">
    <w:name w:val="Body Text First Indent 2"/>
    <w:basedOn w:val="6"/>
    <w:qFormat/>
    <w:uiPriority w:val="0"/>
    <w:pPr>
      <w:ind w:firstLine="420" w:firstLineChars="200"/>
    </w:pPr>
    <w:rPr>
      <w:rFonts w:ascii="Calibri" w:hAnsi="Calibri" w:eastAsia="宋体" w:cs="Times New Roman"/>
      <w:sz w:val="32"/>
    </w:rPr>
  </w:style>
  <w:style w:type="table" w:styleId="16">
    <w:name w:val="Table Grid"/>
    <w:basedOn w:val="15"/>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rPr>
  </w:style>
  <w:style w:type="character" w:styleId="19">
    <w:name w:val="FollowedHyperlink"/>
    <w:basedOn w:val="17"/>
    <w:semiHidden/>
    <w:unhideWhenUsed/>
    <w:qFormat/>
    <w:uiPriority w:val="99"/>
    <w:rPr>
      <w:color w:val="000000"/>
      <w:u w:val="none"/>
    </w:rPr>
  </w:style>
  <w:style w:type="character" w:styleId="20">
    <w:name w:val="Emphasis"/>
    <w:basedOn w:val="17"/>
    <w:qFormat/>
    <w:uiPriority w:val="20"/>
  </w:style>
  <w:style w:type="character" w:styleId="21">
    <w:name w:val="Hyperlink"/>
    <w:basedOn w:val="17"/>
    <w:semiHidden/>
    <w:unhideWhenUsed/>
    <w:qFormat/>
    <w:uiPriority w:val="99"/>
    <w:rPr>
      <w:color w:val="000000"/>
      <w:u w:val="none"/>
    </w:rPr>
  </w:style>
  <w:style w:type="paragraph" w:customStyle="1" w:styleId="22">
    <w:name w:val="Default"/>
    <w:basedOn w:val="1"/>
    <w:qFormat/>
    <w:uiPriority w:val="0"/>
    <w:pPr>
      <w:autoSpaceDE w:val="0"/>
      <w:autoSpaceDN w:val="0"/>
      <w:adjustRightInd w:val="0"/>
      <w:jc w:val="left"/>
    </w:pPr>
    <w:rPr>
      <w:rFonts w:eastAsia="宋体"/>
      <w:color w:val="000000"/>
      <w:kern w:val="0"/>
      <w:sz w:val="24"/>
      <w:szCs w:val="24"/>
    </w:rPr>
  </w:style>
  <w:style w:type="character" w:customStyle="1" w:styleId="23">
    <w:name w:val="页脚 字符"/>
    <w:basedOn w:val="17"/>
    <w:semiHidden/>
    <w:qFormat/>
    <w:uiPriority w:val="99"/>
    <w:rPr>
      <w:sz w:val="18"/>
      <w:szCs w:val="18"/>
    </w:rPr>
  </w:style>
  <w:style w:type="character" w:customStyle="1" w:styleId="24">
    <w:name w:val="页脚 字符1"/>
    <w:basedOn w:val="17"/>
    <w:link w:val="8"/>
    <w:qFormat/>
    <w:uiPriority w:val="0"/>
    <w:rPr>
      <w:sz w:val="18"/>
      <w:szCs w:val="18"/>
    </w:rPr>
  </w:style>
  <w:style w:type="paragraph" w:customStyle="1" w:styleId="25">
    <w:name w:val="标准文字"/>
    <w:basedOn w:val="1"/>
    <w:link w:val="26"/>
    <w:qFormat/>
    <w:uiPriority w:val="0"/>
    <w:pPr>
      <w:overflowPunct w:val="0"/>
      <w:spacing w:line="360" w:lineRule="auto"/>
      <w:ind w:firstLine="600" w:firstLineChars="200"/>
    </w:pPr>
    <w:rPr>
      <w:rFonts w:ascii="Times New Roman" w:hAnsi="Times New Roman" w:eastAsia="仿宋_GB2312" w:cs="Times New Roman"/>
      <w:sz w:val="30"/>
      <w:szCs w:val="30"/>
    </w:rPr>
  </w:style>
  <w:style w:type="character" w:customStyle="1" w:styleId="26">
    <w:name w:val="标准文字 Char"/>
    <w:link w:val="25"/>
    <w:qFormat/>
    <w:locked/>
    <w:uiPriority w:val="0"/>
    <w:rPr>
      <w:rFonts w:ascii="Times New Roman" w:hAnsi="Times New Roman" w:eastAsia="仿宋_GB2312" w:cs="Times New Roman"/>
      <w:sz w:val="30"/>
      <w:szCs w:val="30"/>
    </w:rPr>
  </w:style>
  <w:style w:type="character" w:customStyle="1" w:styleId="27">
    <w:name w:val="NormalCharacter"/>
    <w:qFormat/>
    <w:uiPriority w:val="0"/>
  </w:style>
  <w:style w:type="table" w:customStyle="1" w:styleId="28">
    <w:name w:val="TableGrid"/>
    <w:qFormat/>
    <w:uiPriority w:val="0"/>
    <w:tblPr>
      <w:tblCellMar>
        <w:top w:w="0" w:type="dxa"/>
        <w:left w:w="0" w:type="dxa"/>
        <w:bottom w:w="0" w:type="dxa"/>
        <w:right w:w="0" w:type="dxa"/>
      </w:tblCellMar>
    </w:tblPr>
  </w:style>
  <w:style w:type="character" w:customStyle="1" w:styleId="29">
    <w:name w:val="页眉 字符"/>
    <w:basedOn w:val="17"/>
    <w:link w:val="9"/>
    <w:qFormat/>
    <w:uiPriority w:val="99"/>
    <w:rPr>
      <w:sz w:val="18"/>
      <w:szCs w:val="18"/>
    </w:rPr>
  </w:style>
  <w:style w:type="character" w:customStyle="1" w:styleId="30">
    <w:name w:val="批注框文本 字符"/>
    <w:basedOn w:val="17"/>
    <w:link w:val="7"/>
    <w:semiHidden/>
    <w:qFormat/>
    <w:uiPriority w:val="99"/>
    <w:rPr>
      <w:sz w:val="18"/>
      <w:szCs w:val="18"/>
    </w:rPr>
  </w:style>
  <w:style w:type="character" w:customStyle="1" w:styleId="31">
    <w:name w:val="lable"/>
    <w:basedOn w:val="17"/>
    <w:qFormat/>
    <w:uiPriority w:val="0"/>
    <w:rPr>
      <w:sz w:val="24"/>
      <w:szCs w:val="24"/>
    </w:rPr>
  </w:style>
  <w:style w:type="character" w:customStyle="1" w:styleId="32">
    <w:name w:val="znspantitle"/>
    <w:basedOn w:val="17"/>
    <w:qFormat/>
    <w:uiPriority w:val="0"/>
    <w:rPr>
      <w:b/>
      <w:color w:val="333333"/>
    </w:rPr>
  </w:style>
  <w:style w:type="character" w:customStyle="1" w:styleId="33">
    <w:name w:val="radio-btn"/>
    <w:basedOn w:val="17"/>
    <w:qFormat/>
    <w:uiPriority w:val="0"/>
    <w:rPr>
      <w:sz w:val="21"/>
      <w:szCs w:val="21"/>
    </w:rPr>
  </w:style>
  <w:style w:type="character" w:customStyle="1" w:styleId="34">
    <w:name w:val="radio-btn1"/>
    <w:basedOn w:val="17"/>
    <w:qFormat/>
    <w:uiPriority w:val="0"/>
    <w:rPr>
      <w:sz w:val="24"/>
      <w:szCs w:val="24"/>
    </w:rPr>
  </w:style>
  <w:style w:type="character" w:customStyle="1" w:styleId="35">
    <w:name w:val="radio-btn2"/>
    <w:basedOn w:val="17"/>
    <w:qFormat/>
    <w:uiPriority w:val="0"/>
    <w:rPr>
      <w:sz w:val="24"/>
      <w:szCs w:val="24"/>
    </w:rPr>
  </w:style>
  <w:style w:type="character" w:customStyle="1" w:styleId="36">
    <w:name w:val="lishishuju"/>
    <w:basedOn w:val="17"/>
    <w:qFormat/>
    <w:uiPriority w:val="0"/>
    <w:rPr>
      <w:b/>
      <w:color w:val="000052"/>
      <w:sz w:val="24"/>
      <w:szCs w:val="24"/>
      <w:bdr w:val="single" w:color="E3E3E3" w:sz="6" w:space="0"/>
    </w:rPr>
  </w:style>
  <w:style w:type="character" w:customStyle="1" w:styleId="37">
    <w:name w:val="cur1"/>
    <w:basedOn w:val="17"/>
    <w:qFormat/>
    <w:uiPriority w:val="0"/>
    <w:rPr>
      <w:color w:val="FFFFFF"/>
      <w:shd w:val="clear" w:fill="2F6B98"/>
    </w:rPr>
  </w:style>
  <w:style w:type="character" w:customStyle="1" w:styleId="38">
    <w:name w:val="disabled"/>
    <w:basedOn w:val="17"/>
    <w:qFormat/>
    <w:uiPriority w:val="0"/>
    <w:rPr>
      <w:vanish/>
    </w:rPr>
  </w:style>
  <w:style w:type="paragraph" w:customStyle="1" w:styleId="39">
    <w:name w:val="Table Paragraph"/>
    <w:basedOn w:val="1"/>
    <w:qFormat/>
    <w:uiPriority w:val="1"/>
    <w:rPr>
      <w:rFonts w:ascii="仿宋" w:hAnsi="仿宋" w:eastAsia="仿宋" w:cs="仿宋"/>
      <w:lang w:val="zh-CN" w:eastAsia="zh-CN" w:bidi="zh-CN"/>
    </w:rPr>
  </w:style>
  <w:style w:type="character" w:customStyle="1" w:styleId="40">
    <w:name w:val="font41"/>
    <w:basedOn w:val="17"/>
    <w:qFormat/>
    <w:uiPriority w:val="0"/>
    <w:rPr>
      <w:rFonts w:hint="eastAsia" w:ascii="仿宋_GB2312" w:eastAsia="仿宋_GB2312" w:cs="仿宋_GB2312"/>
      <w:b/>
      <w:color w:val="000000"/>
      <w:sz w:val="24"/>
      <w:szCs w:val="24"/>
      <w:u w:val="none"/>
    </w:rPr>
  </w:style>
  <w:style w:type="character" w:customStyle="1" w:styleId="41">
    <w:name w:val="font31"/>
    <w:basedOn w:val="17"/>
    <w:qFormat/>
    <w:uiPriority w:val="0"/>
    <w:rPr>
      <w:rFonts w:hint="eastAsia" w:ascii="仿宋_GB2312" w:eastAsia="仿宋_GB2312" w:cs="仿宋_GB2312"/>
      <w:color w:val="000000"/>
      <w:sz w:val="24"/>
      <w:szCs w:val="24"/>
      <w:u w:val="none"/>
    </w:rPr>
  </w:style>
  <w:style w:type="table" w:customStyle="1" w:styleId="42">
    <w:name w:val="Table Normal"/>
    <w:semiHidden/>
    <w:unhideWhenUsed/>
    <w:qFormat/>
    <w:uiPriority w:val="0"/>
    <w:tblPr>
      <w:tblCellMar>
        <w:top w:w="0" w:type="dxa"/>
        <w:left w:w="0" w:type="dxa"/>
        <w:bottom w:w="0" w:type="dxa"/>
        <w:right w:w="0" w:type="dxa"/>
      </w:tblCellMar>
    </w:tblPr>
  </w:style>
  <w:style w:type="paragraph" w:customStyle="1" w:styleId="43">
    <w:name w:val="Table Text"/>
    <w:basedOn w:val="1"/>
    <w:semiHidden/>
    <w:qFormat/>
    <w:uiPriority w:val="0"/>
    <w:rPr>
      <w:rFonts w:ascii="微软雅黑" w:hAnsi="微软雅黑" w:eastAsia="微软雅黑" w:cs="微软雅黑"/>
      <w:sz w:val="23"/>
      <w:szCs w:val="23"/>
      <w:lang w:val="en-US" w:eastAsia="en-US" w:bidi="ar-SA"/>
    </w:rPr>
  </w:style>
  <w:style w:type="character" w:customStyle="1" w:styleId="44">
    <w:name w:val="标题 1 Char"/>
    <w:link w:val="2"/>
    <w:qFormat/>
    <w:uiPriority w:val="0"/>
    <w:rPr>
      <w:b/>
      <w:kern w:val="44"/>
      <w:sz w:val="44"/>
    </w:rPr>
  </w:style>
  <w:style w:type="paragraph" w:customStyle="1" w:styleId="45">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9815</Words>
  <Characters>10215</Characters>
  <Lines>1</Lines>
  <Paragraphs>1</Paragraphs>
  <TotalTime>75</TotalTime>
  <ScaleCrop>false</ScaleCrop>
  <LinksUpToDate>false</LinksUpToDate>
  <CharactersWithSpaces>10322</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2020-07-29T16:30:00Z</dcterms:created>
  <dc:creator>傲德姆</dc:creator>
  <cp:lastModifiedBy>@</cp:lastModifiedBy>
  <cp:lastPrinted>2021-03-30T16:14:00Z</cp:lastPrinted>
  <dcterms:modified xsi:type="dcterms:W3CDTF">2026-10-27T10:22:19Z</dcterms:modified>
  <dc:title>x x 省x x市城市黑臭水体</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7B6C16077A41480FACFEE09138DB1A1C_13</vt:lpwstr>
  </property>
  <property fmtid="{D5CDD505-2E9C-101B-9397-08002B2CF9AE}" pid="4" name="KSOTemplateDocerSaveRecord">
    <vt:lpwstr>eyJoZGlkIjoiZTc4OTIzOWMxZDFmOGUzMjZjNjAwMGUwODVhMWU1NjAiLCJ1c2VySWQiOiIyODg2Nzc0NDgifQ==</vt:lpwstr>
  </property>
</Properties>
</file>