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2"/>
          <w:szCs w:val="32"/>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湘西高新技术产业开发区管理委员会</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48"/>
          <w:szCs w:val="48"/>
        </w:rPr>
        <w:t>2022年度部门整体支出绩效自评报告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pStyle w:val="2"/>
        <w:rPr>
          <w:rFonts w:eastAsia="黑体"/>
          <w:sz w:val="32"/>
          <w:szCs w:val="32"/>
        </w:rPr>
      </w:pPr>
    </w:p>
    <w:p>
      <w:pPr>
        <w:pStyle w:val="3"/>
      </w:pPr>
    </w:p>
    <w:p/>
    <w:p>
      <w:pPr>
        <w:spacing w:line="600" w:lineRule="exact"/>
        <w:ind w:firstLine="2160" w:firstLineChars="600"/>
        <w:rPr>
          <w:rFonts w:eastAsia="黑体"/>
          <w:sz w:val="36"/>
          <w:szCs w:val="36"/>
        </w:rPr>
      </w:pPr>
    </w:p>
    <w:p>
      <w:pPr>
        <w:ind w:right="-496" w:rightChars="-236"/>
        <w:jc w:val="center"/>
        <w:rPr>
          <w:rFonts w:eastAsia="黑体"/>
          <w:sz w:val="32"/>
          <w:szCs w:val="32"/>
        </w:rPr>
      </w:pPr>
      <w:r>
        <w:rPr>
          <w:rFonts w:hint="eastAsia" w:eastAsia="黑体"/>
          <w:sz w:val="32"/>
          <w:szCs w:val="32"/>
        </w:rPr>
        <w:t>部门（</w:t>
      </w:r>
      <w:r>
        <w:rPr>
          <w:rFonts w:eastAsia="黑体"/>
          <w:sz w:val="32"/>
          <w:szCs w:val="32"/>
        </w:rPr>
        <w:t>单位</w:t>
      </w:r>
      <w:r>
        <w:rPr>
          <w:rFonts w:hint="eastAsia" w:eastAsia="黑体"/>
          <w:sz w:val="32"/>
          <w:szCs w:val="32"/>
        </w:rPr>
        <w:t>）</w:t>
      </w:r>
      <w:r>
        <w:rPr>
          <w:rFonts w:eastAsia="黑体"/>
          <w:sz w:val="32"/>
          <w:szCs w:val="32"/>
        </w:rPr>
        <w:t>名称（盖章）：</w:t>
      </w:r>
      <w:r>
        <w:rPr>
          <w:rFonts w:hint="eastAsia" w:eastAsia="黑体"/>
          <w:sz w:val="32"/>
          <w:szCs w:val="32"/>
        </w:rPr>
        <w:t>湘西高新技术产业开发区管理委员会</w:t>
      </w:r>
    </w:p>
    <w:p>
      <w:pPr>
        <w:spacing w:line="600" w:lineRule="exact"/>
        <w:ind w:firstLine="2160" w:firstLineChars="600"/>
        <w:rPr>
          <w:rFonts w:eastAsia="黑体"/>
          <w:sz w:val="36"/>
          <w:szCs w:val="36"/>
        </w:rPr>
      </w:pPr>
    </w:p>
    <w:p>
      <w:pPr>
        <w:spacing w:line="600" w:lineRule="exact"/>
        <w:rPr>
          <w:rFonts w:eastAsia="黑体"/>
          <w:sz w:val="32"/>
          <w:szCs w:val="32"/>
        </w:rPr>
      </w:pPr>
      <w:r>
        <w:rPr>
          <w:rFonts w:hint="eastAsia" w:eastAsia="黑体"/>
          <w:sz w:val="32"/>
          <w:szCs w:val="32"/>
        </w:rPr>
        <w:t>预算编码：173001</w:t>
      </w:r>
    </w:p>
    <w:p>
      <w:pPr>
        <w:spacing w:line="600" w:lineRule="exact"/>
        <w:jc w:val="center"/>
        <w:rPr>
          <w:rFonts w:eastAsia="黑体"/>
          <w:sz w:val="36"/>
          <w:szCs w:val="36"/>
        </w:rPr>
      </w:pPr>
    </w:p>
    <w:p>
      <w:pPr>
        <w:spacing w:line="600" w:lineRule="exact"/>
        <w:ind w:firstLine="2099" w:firstLineChars="656"/>
        <w:jc w:val="left"/>
        <w:rPr>
          <w:rFonts w:eastAsia="仿宋_GB2312"/>
          <w:sz w:val="32"/>
          <w:szCs w:val="32"/>
        </w:rPr>
      </w:pPr>
    </w:p>
    <w:p>
      <w:pPr>
        <w:spacing w:line="600" w:lineRule="exact"/>
        <w:ind w:firstLine="2099" w:firstLineChars="656"/>
        <w:jc w:val="left"/>
        <w:rPr>
          <w:rFonts w:eastAsia="仿宋_GB2312"/>
          <w:sz w:val="32"/>
          <w:szCs w:val="32"/>
        </w:rPr>
      </w:pPr>
    </w:p>
    <w:p>
      <w:pPr>
        <w:pStyle w:val="2"/>
        <w:rPr>
          <w:rFonts w:eastAsia="仿宋_GB2312"/>
          <w:sz w:val="32"/>
          <w:szCs w:val="32"/>
        </w:rPr>
      </w:pPr>
    </w:p>
    <w:p>
      <w:pPr>
        <w:pStyle w:val="3"/>
      </w:pPr>
    </w:p>
    <w:p>
      <w:pPr>
        <w:spacing w:line="600" w:lineRule="exact"/>
        <w:ind w:firstLine="2099" w:firstLineChars="656"/>
        <w:jc w:val="left"/>
        <w:rPr>
          <w:rFonts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eastAsia="仿宋_GB2312" w:cs="Arial"/>
          <w:sz w:val="28"/>
          <w:szCs w:val="28"/>
        </w:rPr>
      </w:pPr>
      <w:r>
        <w:rPr>
          <w:rFonts w:hint="eastAsia" w:eastAsia="仿宋_GB2312"/>
          <w:sz w:val="32"/>
          <w:szCs w:val="32"/>
        </w:rPr>
        <w:t>评价机构：部门（单位）单位评价组</w:t>
      </w:r>
    </w:p>
    <w:p>
      <w:pPr>
        <w:jc w:val="center"/>
        <w:rPr>
          <w:rFonts w:eastAsia="仿宋_GB2312" w:cs="Arial"/>
          <w:sz w:val="28"/>
          <w:szCs w:val="28"/>
        </w:rPr>
      </w:pPr>
    </w:p>
    <w:p>
      <w:pPr>
        <w:pStyle w:val="2"/>
      </w:pPr>
    </w:p>
    <w:p>
      <w:pPr>
        <w:pStyle w:val="3"/>
      </w:pPr>
    </w:p>
    <w:p/>
    <w:p>
      <w:pPr>
        <w:pStyle w:val="2"/>
      </w:pPr>
    </w:p>
    <w:p>
      <w:pPr>
        <w:pStyle w:val="3"/>
      </w:pPr>
    </w:p>
    <w:p/>
    <w:p>
      <w:pPr>
        <w:ind w:firstLine="2240" w:firstLineChars="800"/>
        <w:rPr>
          <w:rFonts w:eastAsia="黑体" w:cs="Arial"/>
          <w:sz w:val="32"/>
          <w:szCs w:val="32"/>
          <w:shd w:val="clear" w:color="auto" w:fill="FFFFFF"/>
        </w:rPr>
      </w:pPr>
      <w:r>
        <w:rPr>
          <w:rFonts w:hint="eastAsia" w:ascii="仿宋_GB2312" w:hAnsi="仿宋_GB2312" w:eastAsia="仿宋_GB2312" w:cs="仿宋_GB2312"/>
          <w:sz w:val="28"/>
          <w:szCs w:val="28"/>
        </w:rPr>
        <w:t xml:space="preserve">    报告时间：</w:t>
      </w:r>
      <w:r>
        <w:rPr>
          <w:rFonts w:hint="eastAsia" w:ascii="仿宋_GB2312" w:hAnsi="仿宋_GB2312" w:eastAsia="仿宋_GB2312" w:cs="仿宋_GB2312"/>
          <w:sz w:val="28"/>
          <w:szCs w:val="28"/>
          <w:u w:val="single"/>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6</w:t>
      </w:r>
      <w:r>
        <w:rPr>
          <w:rFonts w:hint="eastAsia" w:ascii="仿宋_GB2312" w:hAnsi="仿宋_GB2312" w:eastAsia="仿宋_GB2312" w:cs="仿宋_GB2312"/>
          <w:sz w:val="28"/>
          <w:szCs w:val="28"/>
        </w:rPr>
        <w:t>月</w:t>
      </w:r>
    </w:p>
    <w:p>
      <w:pPr>
        <w:spacing w:line="540" w:lineRule="exact"/>
        <w:jc w:val="left"/>
        <w:rPr>
          <w:rFonts w:eastAsia="黑体" w:cs="Arial"/>
          <w:sz w:val="32"/>
          <w:szCs w:val="32"/>
          <w:shd w:val="clear" w:color="auto" w:fill="FFFFFF"/>
        </w:rPr>
      </w:pPr>
    </w:p>
    <w:p>
      <w:pPr>
        <w:pStyle w:val="2"/>
      </w:pPr>
    </w:p>
    <w:p>
      <w:pPr>
        <w:pStyle w:val="3"/>
      </w:pPr>
    </w:p>
    <w:p/>
    <w:p>
      <w:pPr>
        <w:pStyle w:val="2"/>
      </w:pPr>
    </w:p>
    <w:p>
      <w:pPr>
        <w:pStyle w:val="3"/>
      </w:pPr>
    </w:p>
    <w:tbl>
      <w:tblPr>
        <w:tblStyle w:val="15"/>
        <w:tblW w:w="9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601"/>
        <w:gridCol w:w="833"/>
        <w:gridCol w:w="87"/>
        <w:gridCol w:w="131"/>
        <w:gridCol w:w="46"/>
        <w:gridCol w:w="592"/>
        <w:gridCol w:w="599"/>
        <w:gridCol w:w="32"/>
        <w:gridCol w:w="1024"/>
        <w:gridCol w:w="188"/>
        <w:gridCol w:w="68"/>
        <w:gridCol w:w="958"/>
        <w:gridCol w:w="1309"/>
        <w:gridCol w:w="205"/>
        <w:gridCol w:w="21"/>
        <w:gridCol w:w="107"/>
        <w:gridCol w:w="119"/>
        <w:gridCol w:w="659"/>
        <w:gridCol w:w="1141"/>
        <w:gridCol w:w="70"/>
        <w:gridCol w:w="69"/>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23" w:type="dxa"/>
            <w:gridSpan w:val="22"/>
            <w:vAlign w:val="center"/>
          </w:tcPr>
          <w:p>
            <w:pPr>
              <w:autoSpaceDN w:val="0"/>
              <w:spacing w:line="320" w:lineRule="exact"/>
              <w:jc w:val="center"/>
              <w:textAlignment w:val="center"/>
              <w:rPr>
                <w:rFonts w:eastAsia="仿宋_GB2312" w:cs="仿宋_GB2312"/>
                <w:sz w:val="24"/>
              </w:rPr>
            </w:pPr>
            <w:r>
              <w:rPr>
                <w:rFonts w:eastAsia="黑体" w:cs="Arial"/>
                <w:sz w:val="32"/>
                <w:szCs w:val="32"/>
                <w:shd w:val="clear" w:color="auto" w:fill="FFFFFF"/>
              </w:rPr>
              <w:br w:type="page"/>
            </w: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1"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联系人</w:t>
            </w:r>
          </w:p>
        </w:tc>
        <w:tc>
          <w:tcPr>
            <w:tcW w:w="3638"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韩羿</w:t>
            </w:r>
          </w:p>
        </w:tc>
        <w:tc>
          <w:tcPr>
            <w:tcW w:w="1535"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联系电话</w:t>
            </w:r>
          </w:p>
        </w:tc>
        <w:tc>
          <w:tcPr>
            <w:tcW w:w="3229"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15874386199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1"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人员编制</w:t>
            </w:r>
          </w:p>
        </w:tc>
        <w:tc>
          <w:tcPr>
            <w:tcW w:w="3638"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162</w:t>
            </w:r>
          </w:p>
        </w:tc>
        <w:tc>
          <w:tcPr>
            <w:tcW w:w="1535"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实有人数</w:t>
            </w:r>
          </w:p>
        </w:tc>
        <w:tc>
          <w:tcPr>
            <w:tcW w:w="3229"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0" w:hRule="atLeast"/>
          <w:jc w:val="center"/>
        </w:trPr>
        <w:tc>
          <w:tcPr>
            <w:tcW w:w="1521"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职能职责概述</w:t>
            </w:r>
          </w:p>
        </w:tc>
        <w:tc>
          <w:tcPr>
            <w:tcW w:w="8402" w:type="dxa"/>
            <w:gridSpan w:val="19"/>
            <w:vAlign w:val="center"/>
          </w:tcPr>
          <w:p>
            <w:pPr>
              <w:autoSpaceDN w:val="0"/>
              <w:spacing w:line="320" w:lineRule="exact"/>
              <w:ind w:firstLine="480" w:firstLineChars="200"/>
              <w:jc w:val="left"/>
              <w:textAlignment w:val="center"/>
              <w:rPr>
                <w:rFonts w:eastAsia="仿宋_GB2312" w:cs="仿宋_GB2312"/>
                <w:sz w:val="24"/>
              </w:rPr>
            </w:pPr>
          </w:p>
          <w:p>
            <w:pPr>
              <w:pStyle w:val="2"/>
            </w:pPr>
          </w:p>
          <w:p>
            <w:pPr>
              <w:autoSpaceDN w:val="0"/>
              <w:spacing w:line="420" w:lineRule="exact"/>
              <w:ind w:firstLine="480" w:firstLineChars="200"/>
              <w:jc w:val="left"/>
              <w:textAlignment w:val="center"/>
              <w:rPr>
                <w:rFonts w:eastAsia="仿宋_GB2312" w:cs="仿宋_GB2312"/>
                <w:sz w:val="24"/>
              </w:rPr>
            </w:pPr>
            <w:r>
              <w:rPr>
                <w:rFonts w:hint="eastAsia" w:eastAsia="仿宋_GB2312" w:cs="仿宋_GB2312"/>
                <w:sz w:val="24"/>
              </w:rPr>
              <w:t>1.</w:t>
            </w:r>
            <w:r>
              <w:rPr>
                <w:rFonts w:hint="eastAsia" w:ascii="Times New Roman" w:hAnsi="Times New Roman" w:eastAsia="仿宋_GB2312" w:cs="仿宋_GB2312"/>
                <w:sz w:val="24"/>
              </w:rPr>
              <w:t>负责贯彻执行党和国家关于高新区的方针政策、法律法规和决策部署。</w:t>
            </w:r>
          </w:p>
          <w:p>
            <w:pPr>
              <w:autoSpaceDN w:val="0"/>
              <w:spacing w:line="420" w:lineRule="exact"/>
              <w:ind w:firstLine="480" w:firstLineChars="200"/>
              <w:jc w:val="left"/>
              <w:textAlignment w:val="center"/>
              <w:rPr>
                <w:rFonts w:eastAsia="仿宋_GB2312" w:cs="仿宋_GB2312"/>
                <w:sz w:val="24"/>
              </w:rPr>
            </w:pPr>
            <w:r>
              <w:rPr>
                <w:rFonts w:hint="eastAsia" w:eastAsia="仿宋_GB2312" w:cs="仿宋_GB2312"/>
                <w:sz w:val="24"/>
              </w:rPr>
              <w:t>2.</w:t>
            </w:r>
            <w:r>
              <w:rPr>
                <w:rFonts w:hint="eastAsia" w:ascii="Times New Roman" w:hAnsi="Times New Roman" w:eastAsia="仿宋_GB2312" w:cs="仿宋_GB2312"/>
                <w:sz w:val="24"/>
              </w:rPr>
              <w:t>负责研究拟订和组织实施湘西高新区重大发展战略、发展规划和工作计划。</w:t>
            </w:r>
          </w:p>
          <w:p>
            <w:pPr>
              <w:autoSpaceDN w:val="0"/>
              <w:spacing w:line="420" w:lineRule="exact"/>
              <w:ind w:firstLine="480" w:firstLineChars="200"/>
              <w:jc w:val="left"/>
              <w:textAlignment w:val="center"/>
              <w:rPr>
                <w:rFonts w:eastAsia="仿宋_GB2312" w:cs="仿宋_GB2312"/>
                <w:sz w:val="24"/>
              </w:rPr>
            </w:pPr>
            <w:r>
              <w:rPr>
                <w:rFonts w:hint="eastAsia" w:eastAsia="仿宋_GB2312" w:cs="仿宋_GB2312"/>
                <w:sz w:val="24"/>
              </w:rPr>
              <w:t>3.</w:t>
            </w:r>
            <w:r>
              <w:rPr>
                <w:rFonts w:hint="eastAsia" w:ascii="Times New Roman" w:hAnsi="Times New Roman" w:eastAsia="仿宋_GB2312" w:cs="仿宋_GB2312"/>
                <w:sz w:val="24"/>
              </w:rPr>
              <w:t>按照湘西自治州国土空间总体规划和产业发展规划要求及相关权限，负责统筹建设发展空间布局。负责拟订湘西高新区发展规划、产业布局、产业政策、项目准入标准等重要事项并组织实施。</w:t>
            </w:r>
          </w:p>
          <w:p>
            <w:pPr>
              <w:autoSpaceDN w:val="0"/>
              <w:spacing w:line="420" w:lineRule="exact"/>
              <w:ind w:firstLine="480" w:firstLineChars="200"/>
              <w:jc w:val="left"/>
              <w:textAlignment w:val="center"/>
              <w:rPr>
                <w:rFonts w:hint="eastAsia" w:ascii="Times New Roman" w:hAnsi="Times New Roman" w:eastAsia="仿宋_GB2312" w:cs="仿宋_GB2312"/>
                <w:sz w:val="24"/>
              </w:rPr>
            </w:pPr>
            <w:r>
              <w:rPr>
                <w:rFonts w:hint="eastAsia" w:eastAsia="仿宋_GB2312" w:cs="仿宋_GB2312"/>
                <w:sz w:val="24"/>
              </w:rPr>
              <w:t>4.</w:t>
            </w:r>
            <w:r>
              <w:rPr>
                <w:rFonts w:hint="eastAsia" w:ascii="Times New Roman" w:hAnsi="Times New Roman" w:eastAsia="仿宋_GB2312" w:cs="仿宋_GB2312"/>
                <w:sz w:val="24"/>
              </w:rPr>
              <w:t>负责湘西高新区招商引资工作，组织对外经济技术合作与交流。负责湘西高新区基础设施、公用事业、重大项目等建设管理相关工作。</w:t>
            </w:r>
          </w:p>
          <w:p>
            <w:pPr>
              <w:autoSpaceDN w:val="0"/>
              <w:spacing w:line="420" w:lineRule="exact"/>
              <w:ind w:firstLine="480" w:firstLineChars="200"/>
              <w:jc w:val="left"/>
              <w:textAlignment w:val="center"/>
              <w:rPr>
                <w:rFonts w:eastAsia="仿宋_GB2312" w:cs="仿宋_GB2312"/>
                <w:sz w:val="24"/>
              </w:rPr>
            </w:pPr>
            <w:r>
              <w:rPr>
                <w:rFonts w:hint="eastAsia" w:eastAsia="仿宋_GB2312" w:cs="仿宋_GB2312"/>
                <w:sz w:val="24"/>
              </w:rPr>
              <w:t>5.</w:t>
            </w:r>
            <w:r>
              <w:rPr>
                <w:rFonts w:hint="eastAsia" w:ascii="Times New Roman" w:hAnsi="Times New Roman" w:eastAsia="仿宋_GB2312" w:cs="仿宋_GB2312"/>
                <w:sz w:val="24"/>
              </w:rPr>
              <w:t>负责湘西高新区优化营商环境工作，根据权限依法承担有关行政审批工作，履行行政审批服务职责。负责构建湘西高新区创新创业服务体系，做好人才引进和服务工作。</w:t>
            </w:r>
          </w:p>
          <w:p>
            <w:pPr>
              <w:autoSpaceDN w:val="0"/>
              <w:spacing w:line="420" w:lineRule="exact"/>
              <w:ind w:firstLine="480" w:firstLineChars="200"/>
              <w:jc w:val="left"/>
              <w:textAlignment w:val="center"/>
              <w:rPr>
                <w:rFonts w:eastAsia="仿宋_GB2312" w:cs="仿宋_GB2312"/>
                <w:sz w:val="24"/>
              </w:rPr>
            </w:pPr>
            <w:r>
              <w:rPr>
                <w:rFonts w:hint="eastAsia" w:eastAsia="仿宋_GB2312" w:cs="仿宋_GB2312"/>
                <w:sz w:val="24"/>
              </w:rPr>
              <w:t>6.</w:t>
            </w:r>
            <w:r>
              <w:rPr>
                <w:rFonts w:hint="eastAsia" w:ascii="Times New Roman" w:hAnsi="Times New Roman" w:eastAsia="仿宋_GB2312" w:cs="仿宋_GB2312"/>
                <w:sz w:val="24"/>
              </w:rPr>
              <w:t>负责湘西高新区的科技创新、高新技术产业管理和服务，开展有关科技创新和高新技术产业政策研究，构建技术创新服务体系。指导区内企业建立现代化企业制度，推进高新技术产业化、国际化。</w:t>
            </w:r>
          </w:p>
          <w:p>
            <w:pPr>
              <w:autoSpaceDN w:val="0"/>
              <w:spacing w:line="420" w:lineRule="exact"/>
              <w:ind w:firstLine="480" w:firstLineChars="200"/>
              <w:jc w:val="left"/>
              <w:textAlignment w:val="center"/>
              <w:rPr>
                <w:rFonts w:hint="eastAsia" w:ascii="Times New Roman" w:hAnsi="Times New Roman" w:eastAsia="仿宋_GB2312" w:cs="仿宋_GB2312"/>
                <w:sz w:val="24"/>
                <w:lang w:val="en-US" w:eastAsia="zh-CN"/>
              </w:rPr>
            </w:pPr>
            <w:r>
              <w:rPr>
                <w:rFonts w:hint="eastAsia" w:eastAsia="仿宋_GB2312" w:cs="仿宋_GB2312"/>
                <w:sz w:val="24"/>
              </w:rPr>
              <w:t>7.</w:t>
            </w:r>
            <w:r>
              <w:rPr>
                <w:rFonts w:hint="eastAsia" w:ascii="Times New Roman" w:hAnsi="Times New Roman" w:eastAsia="仿宋_GB2312" w:cs="仿宋_GB2312"/>
                <w:sz w:val="24"/>
                <w:lang w:val="en-US" w:eastAsia="zh-CN"/>
              </w:rPr>
              <w:t>负责湘西高新区党的建设，以及非公有制经济组织和社会组织党建工作。</w:t>
            </w:r>
          </w:p>
          <w:p>
            <w:pPr>
              <w:autoSpaceDN w:val="0"/>
              <w:spacing w:line="420" w:lineRule="exact"/>
              <w:ind w:firstLine="480" w:firstLineChars="200"/>
              <w:jc w:val="left"/>
              <w:textAlignment w:val="center"/>
              <w:rPr>
                <w:rFonts w:hint="eastAsia" w:ascii="Times New Roman" w:hAnsi="Times New Roman" w:eastAsia="仿宋_GB2312" w:cs="仿宋_GB2312"/>
                <w:sz w:val="24"/>
                <w:lang w:val="en-US" w:eastAsia="zh-CN"/>
              </w:rPr>
            </w:pPr>
            <w:r>
              <w:rPr>
                <w:rFonts w:hint="eastAsia" w:eastAsia="仿宋_GB2312" w:cs="仿宋_GB2312"/>
                <w:sz w:val="24"/>
              </w:rPr>
              <w:t>8.</w:t>
            </w:r>
            <w:r>
              <w:rPr>
                <w:rFonts w:hint="eastAsia" w:ascii="Times New Roman" w:hAnsi="Times New Roman" w:eastAsia="仿宋_GB2312" w:cs="仿宋_GB2312"/>
                <w:sz w:val="24"/>
                <w:lang w:val="en-US" w:eastAsia="zh-CN"/>
              </w:rPr>
              <w:t>根据有关要求和职责分工，承担湘西高新区综合管理、统计、内部审计、信息、安全生产监督管理、生态环境保护、财政收支管理及国有资产管理等工作。</w:t>
            </w:r>
          </w:p>
          <w:p>
            <w:pPr>
              <w:autoSpaceDN w:val="0"/>
              <w:spacing w:line="420" w:lineRule="exact"/>
              <w:ind w:firstLine="480" w:firstLineChars="200"/>
              <w:jc w:val="left"/>
              <w:textAlignment w:val="center"/>
              <w:rPr>
                <w:rFonts w:eastAsia="仿宋_GB2312" w:cs="仿宋_GB2312"/>
                <w:sz w:val="24"/>
              </w:rPr>
            </w:pPr>
            <w:r>
              <w:rPr>
                <w:rFonts w:hint="eastAsia" w:eastAsia="仿宋_GB2312" w:cs="仿宋_GB2312"/>
                <w:sz w:val="24"/>
              </w:rPr>
              <w:t>9.</w:t>
            </w:r>
            <w:r>
              <w:rPr>
                <w:rFonts w:hint="eastAsia" w:ascii="Times New Roman" w:hAnsi="Times New Roman" w:eastAsia="仿宋_GB2312" w:cs="仿宋_GB2312"/>
                <w:sz w:val="24"/>
                <w:lang w:val="en-US" w:eastAsia="zh-CN"/>
              </w:rPr>
              <w:t>根据授权，负责行使对湘西高新区管理范围内的自然资源、生态环境、公安、税务等派驻机构工作的指导、监督和协调。</w:t>
            </w:r>
          </w:p>
          <w:p>
            <w:pPr>
              <w:autoSpaceDN w:val="0"/>
              <w:spacing w:line="420" w:lineRule="exact"/>
              <w:ind w:firstLine="480" w:firstLineChars="200"/>
              <w:jc w:val="left"/>
              <w:textAlignment w:val="center"/>
              <w:rPr>
                <w:rFonts w:hint="eastAsia" w:ascii="Times New Roman" w:hAnsi="Times New Roman" w:eastAsia="仿宋_GB2312" w:cs="仿宋_GB2312"/>
                <w:sz w:val="24"/>
                <w:lang w:val="en-US" w:eastAsia="zh-CN"/>
              </w:rPr>
            </w:pPr>
            <w:r>
              <w:rPr>
                <w:rFonts w:hint="eastAsia" w:eastAsia="仿宋_GB2312" w:cs="仿宋_GB2312"/>
                <w:sz w:val="24"/>
              </w:rPr>
              <w:t>10.</w:t>
            </w:r>
            <w:r>
              <w:rPr>
                <w:rFonts w:hint="eastAsia" w:ascii="Times New Roman" w:hAnsi="Times New Roman" w:eastAsia="仿宋_GB2312" w:cs="仿宋_GB2312"/>
                <w:sz w:val="24"/>
                <w:lang w:val="en-US" w:eastAsia="zh-CN"/>
              </w:rPr>
              <w:t>承办省委、省政府和州委、州政府交办的其他事项。</w:t>
            </w:r>
          </w:p>
          <w:p>
            <w:pPr>
              <w:autoSpaceDN w:val="0"/>
              <w:spacing w:line="420" w:lineRule="exact"/>
              <w:ind w:firstLine="480" w:firstLineChars="200"/>
              <w:jc w:val="left"/>
              <w:textAlignment w:val="center"/>
              <w:rPr>
                <w:rFonts w:eastAsia="仿宋_GB2312" w:cs="仿宋_GB2312"/>
                <w:sz w:val="24"/>
              </w:rPr>
            </w:pPr>
          </w:p>
          <w:p>
            <w:pPr>
              <w:autoSpaceDN w:val="0"/>
              <w:spacing w:line="320" w:lineRule="exact"/>
              <w:ind w:firstLine="480" w:firstLineChars="200"/>
              <w:jc w:val="left"/>
              <w:textAlignment w:val="center"/>
              <w:rPr>
                <w:rFonts w:eastAsia="仿宋_GB2312" w:cs="仿宋_GB2312"/>
                <w:sz w:val="24"/>
              </w:rPr>
            </w:pPr>
          </w:p>
          <w:p>
            <w:pPr>
              <w:pStyle w:val="2"/>
              <w:rPr>
                <w:rFonts w:eastAsia="仿宋_GB2312" w:cs="仿宋_GB2312"/>
                <w:sz w:val="24"/>
              </w:rPr>
            </w:pPr>
          </w:p>
          <w:p>
            <w:pPr>
              <w:pStyle w:val="3"/>
              <w:rPr>
                <w:rFonts w:eastAsia="仿宋_GB2312" w:cs="仿宋_GB2312"/>
                <w:sz w:val="24"/>
              </w:rPr>
            </w:pPr>
          </w:p>
          <w:p>
            <w:pPr>
              <w:rPr>
                <w:rFonts w:eastAsia="仿宋_GB2312" w:cs="仿宋_GB2312"/>
                <w:sz w:val="24"/>
              </w:rPr>
            </w:pPr>
          </w:p>
          <w:p>
            <w:pPr>
              <w:pStyle w:val="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23" w:hRule="atLeast"/>
          <w:jc w:val="center"/>
        </w:trPr>
        <w:tc>
          <w:tcPr>
            <w:tcW w:w="1521"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eastAsia="仿宋_GB2312" w:cs="仿宋_GB2312"/>
                <w:sz w:val="24"/>
              </w:rPr>
            </w:pPr>
            <w:r>
              <w:rPr>
                <w:rFonts w:hint="eastAsia" w:eastAsia="仿宋_GB2312" w:cs="仿宋_GB2312"/>
                <w:sz w:val="24"/>
              </w:rPr>
              <w:t>工作内容</w:t>
            </w:r>
          </w:p>
        </w:tc>
        <w:tc>
          <w:tcPr>
            <w:tcW w:w="8402" w:type="dxa"/>
            <w:gridSpan w:val="19"/>
            <w:vAlign w:val="center"/>
          </w:tcPr>
          <w:p>
            <w:pPr>
              <w:autoSpaceDN w:val="0"/>
              <w:spacing w:line="600" w:lineRule="exact"/>
              <w:ind w:firstLine="480" w:firstLineChars="200"/>
              <w:jc w:val="left"/>
              <w:textAlignment w:val="center"/>
              <w:rPr>
                <w:rFonts w:eastAsia="仿宋_GB2312" w:cs="仿宋_GB2312"/>
                <w:sz w:val="24"/>
              </w:rPr>
            </w:pPr>
            <w:r>
              <w:rPr>
                <w:rFonts w:hint="eastAsia" w:eastAsia="仿宋_GB2312" w:cs="仿宋_GB2312"/>
                <w:sz w:val="24"/>
              </w:rPr>
              <w:t>任务1：积极构建产业体系，着力夯实经济发展的坚实根基。</w:t>
            </w:r>
          </w:p>
          <w:p>
            <w:pPr>
              <w:autoSpaceDN w:val="0"/>
              <w:spacing w:line="600" w:lineRule="exact"/>
              <w:ind w:firstLine="480" w:firstLineChars="200"/>
              <w:jc w:val="left"/>
              <w:textAlignment w:val="center"/>
              <w:rPr>
                <w:rFonts w:eastAsia="仿宋_GB2312" w:cs="仿宋_GB2312"/>
                <w:sz w:val="24"/>
              </w:rPr>
            </w:pPr>
            <w:r>
              <w:rPr>
                <w:rFonts w:hint="eastAsia" w:eastAsia="仿宋_GB2312" w:cs="仿宋_GB2312"/>
                <w:sz w:val="24"/>
              </w:rPr>
              <w:t>任务2：防范化解风险隐患，着力营造经济发展的稳定环境。</w:t>
            </w:r>
          </w:p>
          <w:p>
            <w:pPr>
              <w:autoSpaceDN w:val="0"/>
              <w:spacing w:line="600" w:lineRule="exact"/>
              <w:ind w:firstLine="480" w:firstLineChars="200"/>
              <w:jc w:val="left"/>
              <w:textAlignment w:val="center"/>
              <w:rPr>
                <w:rFonts w:eastAsia="仿宋_GB2312" w:cs="仿宋_GB2312"/>
                <w:sz w:val="24"/>
              </w:rPr>
            </w:pPr>
            <w:r>
              <w:rPr>
                <w:rFonts w:hint="eastAsia" w:eastAsia="仿宋_GB2312" w:cs="仿宋_GB2312"/>
                <w:sz w:val="24"/>
              </w:rPr>
              <w:t>任务3：努力提升城市品质，积极打造宜居宜业的州府新城。</w:t>
            </w:r>
          </w:p>
          <w:p>
            <w:pPr>
              <w:autoSpaceDN w:val="0"/>
              <w:spacing w:line="600" w:lineRule="exact"/>
              <w:ind w:firstLine="480" w:firstLineChars="200"/>
              <w:jc w:val="left"/>
              <w:textAlignment w:val="center"/>
              <w:rPr>
                <w:rFonts w:eastAsia="仿宋_GB2312" w:cs="仿宋_GB2312"/>
                <w:sz w:val="24"/>
              </w:rPr>
            </w:pPr>
            <w:r>
              <w:rPr>
                <w:rFonts w:hint="eastAsia" w:eastAsia="仿宋_GB2312" w:cs="仿宋_GB2312"/>
                <w:sz w:val="24"/>
              </w:rPr>
              <w:t>任务4：全面推进改革创新，着力激活经济发展的动力源泉。</w:t>
            </w:r>
          </w:p>
          <w:p>
            <w:pPr>
              <w:autoSpaceDN w:val="0"/>
              <w:spacing w:line="600" w:lineRule="exact"/>
              <w:ind w:firstLine="480" w:firstLineChars="200"/>
              <w:jc w:val="left"/>
              <w:textAlignment w:val="center"/>
              <w:rPr>
                <w:rFonts w:eastAsia="仿宋_GB2312" w:cs="仿宋_GB2312"/>
                <w:sz w:val="24"/>
              </w:rPr>
            </w:pPr>
            <w:r>
              <w:rPr>
                <w:rFonts w:hint="eastAsia" w:eastAsia="仿宋_GB2312" w:cs="仿宋_GB2312"/>
                <w:sz w:val="24"/>
              </w:rPr>
              <w:t>任务5：强化为企服务意识，着力营造亲商护商的营商环境。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79" w:hRule="atLeast"/>
          <w:jc w:val="center"/>
        </w:trPr>
        <w:tc>
          <w:tcPr>
            <w:tcW w:w="1521"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402" w:type="dxa"/>
            <w:gridSpan w:val="19"/>
            <w:vAlign w:val="center"/>
          </w:tcPr>
          <w:p>
            <w:pPr>
              <w:spacing w:line="540" w:lineRule="exact"/>
              <w:ind w:firstLine="480" w:firstLineChars="200"/>
              <w:rPr>
                <w:rFonts w:eastAsia="仿宋_GB2312" w:cs="仿宋_GB2312"/>
                <w:sz w:val="24"/>
              </w:rPr>
            </w:pPr>
            <w:r>
              <w:rPr>
                <w:rFonts w:hint="eastAsia" w:eastAsia="仿宋_GB2312" w:cs="仿宋_GB2312"/>
                <w:sz w:val="24"/>
              </w:rPr>
              <w:t>2022年以习近平新时代中国特色社会主义思想为指导，在州委州政府的正确领导下，本部门多措并举加强党风廉政建设，深化落实全面从严治党主体责任，从明确责任、加强教育、完善机制、加强监督等方面全面推进党风廉政建设，强化党员干部党规党纪意识，坚决遏制干部不尽责、不作为、乱作为现象的发生。紧紧围绕州委、州政府的决策部署，加快“五好”园区建设，推动经济高质量发展。</w:t>
            </w:r>
          </w:p>
          <w:p>
            <w:pPr>
              <w:spacing w:line="540" w:lineRule="exact"/>
              <w:ind w:firstLine="480" w:firstLineChars="200"/>
              <w:rPr>
                <w:rFonts w:eastAsia="仿宋_GB2312" w:cs="仿宋_GB2312"/>
                <w:sz w:val="24"/>
              </w:rPr>
            </w:pPr>
            <w:r>
              <w:rPr>
                <w:rFonts w:hint="eastAsia" w:eastAsia="仿宋_GB2312" w:cs="仿宋_GB2312"/>
                <w:sz w:val="24"/>
              </w:rPr>
              <w:t>（一）经济运行稳中提质。全年实现地区GDP 84.6亿元，同比增长4.5%；预计完成固定资产投资54.5亿元，同比增长1.8%；预计规模工业增加值同比增长8%；预计完成技工贸收入221亿元，同比增长10%；实现地方财政收入3.87亿元，同比下降32%；预计引进省外境内资金30.08亿元，同比增长20.32%；新增“四上”企业15家。洁宝日化公司、锐阳电子公司入选省专精特新“小巨人”企业；方彦半导体公司、洁宝日化公司入选湖南上市后备企业；在2021年度全省46家高新区创新发展绩效评价中位列第11位，较上年度提升1个名次；“五好”园区建设被省政府真抓实干督查激励表彰。在宏观经济异常严竣的大环境下，大部分主要经济指标都实现正增长，较好地完成了全年目标任务。</w:t>
            </w:r>
          </w:p>
          <w:p>
            <w:pPr>
              <w:spacing w:line="540" w:lineRule="exact"/>
              <w:ind w:firstLine="480" w:firstLineChars="200"/>
              <w:rPr>
                <w:rFonts w:eastAsia="仿宋_GB2312" w:cs="仿宋_GB2312"/>
                <w:sz w:val="24"/>
              </w:rPr>
            </w:pPr>
            <w:r>
              <w:rPr>
                <w:rFonts w:hint="eastAsia" w:eastAsia="仿宋_GB2312" w:cs="仿宋_GB2312"/>
                <w:sz w:val="24"/>
              </w:rPr>
              <w:t>（二）项目建设有序推进。创新实施项目专班制，对项目进行全流程跟踪，组建前期工作、招商引资、项目实施、督导推进四个专班，分段负责，接力推进，全力优化项目建设环境。东区综合开发等一批重大项目开工建设，华美兴泰动力锂电池组、丰达合金新材料产业园等一批重大项目加快推进，武陵山智能制造基地等一批重大项目竣工,中印酒类包装智能制造生产项目等实现投产。省重点项目累计完成投资5.6亿元，完成年计划的112%；27个州重点项目累计完成投资70亿元，完成年计划的100%；完成重点项目动态储备155亿元，完成年计划的103%，稳住了经济发展的基本盘。</w:t>
            </w:r>
          </w:p>
          <w:p>
            <w:pPr>
              <w:spacing w:line="540" w:lineRule="exact"/>
              <w:ind w:firstLine="480" w:firstLineChars="200"/>
              <w:rPr>
                <w:rFonts w:eastAsia="仿宋_GB2312" w:cs="仿宋_GB2312"/>
                <w:sz w:val="24"/>
              </w:rPr>
            </w:pPr>
            <w:r>
              <w:rPr>
                <w:rFonts w:hint="eastAsia" w:eastAsia="仿宋_GB2312" w:cs="仿宋_GB2312"/>
                <w:sz w:val="24"/>
              </w:rPr>
              <w:t>（三）招商引资成效明显。坚持把招商引资作为“一号工程”，出台了《招商“第一人”奖励办法》等一系列重大政策，紧紧围绕“一主两特一配套”产业体系精准招商，荣获全省商务工作先进园区、2022年度全州招商引资工作考核一等奖。新引进签约项目35个，其中投资1亿元以上产业项目10个，新引进项目的数量、质量、规模跃上了新台阶。引进“三类500强”企业新投资项目4个，完成年任务的400%；新注册外商投资企业</w:t>
            </w:r>
            <w:r>
              <w:rPr>
                <w:rFonts w:eastAsia="仿宋_GB2312" w:cs="仿宋_GB2312"/>
                <w:sz w:val="24"/>
              </w:rPr>
              <w:t>2</w:t>
            </w:r>
            <w:r>
              <w:rPr>
                <w:rFonts w:hint="eastAsia" w:eastAsia="仿宋_GB2312" w:cs="仿宋_GB2312"/>
                <w:sz w:val="24"/>
              </w:rPr>
              <w:t>家，外商直接投资完成300万美元，增长100%；外贸进出口实绩企业13家，实现进出口总额13.5亿元，增长20%，占全州进出口总额60%以上。外资到位资金、进出口总额、引进“三类500强”企业数量、总量均位居全州第一，增强了经济发展的后劲。</w:t>
            </w:r>
          </w:p>
          <w:p>
            <w:pPr>
              <w:overflowPunct w:val="0"/>
              <w:spacing w:line="540" w:lineRule="exact"/>
              <w:ind w:firstLine="480" w:firstLineChars="200"/>
              <w:rPr>
                <w:rFonts w:eastAsia="仿宋_GB2312" w:cs="仿宋_GB2312"/>
                <w:sz w:val="24"/>
              </w:rPr>
            </w:pPr>
            <w:r>
              <w:rPr>
                <w:rFonts w:hint="eastAsia" w:eastAsia="仿宋_GB2312" w:cs="仿宋_GB2312"/>
                <w:sz w:val="24"/>
              </w:rPr>
              <w:t>（四）营商环境持续优化。深入推进优化营商环境攻坚年行动，</w:t>
            </w:r>
            <w:r>
              <w:rPr>
                <w:rFonts w:eastAsia="仿宋_GB2312" w:cs="仿宋_GB2312"/>
                <w:sz w:val="24"/>
              </w:rPr>
              <w:t>连续3年荣获</w:t>
            </w:r>
            <w:r>
              <w:rPr>
                <w:rFonts w:hint="eastAsia" w:eastAsia="仿宋_GB2312" w:cs="仿宋_GB2312"/>
                <w:sz w:val="24"/>
              </w:rPr>
              <w:t>全州深化“放管服”改革优化营商环境工作综合考核一等奖，在2022年全省营商环境评价133个省级园区中排名第四。深入开展干部联企“送政策、优服务、解难题”行动，全年共为企业办理“五税两费”缓缴595万元，征前减免2.12亿元，留抵退税2.65亿元，兑现各类财政奖补资金9536.68万元，减免小微服务业企业及商户租金978万元。推行帮代办服务“12345”模式，探索实施“码上办”小程序 ，行政审批服务效率进一步提升。</w:t>
            </w:r>
            <w:r>
              <w:rPr>
                <w:rFonts w:eastAsia="仿宋_GB2312" w:cs="仿宋_GB2312"/>
                <w:sz w:val="24"/>
              </w:rPr>
              <w:t>截至2022年底，</w:t>
            </w:r>
            <w:r>
              <w:rPr>
                <w:rFonts w:hint="eastAsia" w:eastAsia="仿宋_GB2312" w:cs="仿宋_GB2312"/>
                <w:sz w:val="24"/>
              </w:rPr>
              <w:t>高新区实有市场主体3968户，新增1064户，完成目标任务105.25%，其中，企业占比49.92%，法人企业占比84.55%，分别超过省定目标的25.92%和6.55%，两项指标均排名全州第一，经济发展的活力不断增强。</w:t>
            </w:r>
          </w:p>
          <w:p>
            <w:pPr>
              <w:overflowPunct w:val="0"/>
              <w:spacing w:line="540" w:lineRule="exact"/>
              <w:ind w:firstLine="480" w:firstLineChars="200"/>
              <w:rPr>
                <w:rFonts w:eastAsia="仿宋_GB2312" w:cs="仿宋_GB2312"/>
                <w:sz w:val="24"/>
              </w:rPr>
            </w:pPr>
            <w:r>
              <w:rPr>
                <w:rFonts w:hint="eastAsia" w:eastAsia="仿宋_GB2312" w:cs="仿宋_GB2312"/>
                <w:sz w:val="24"/>
              </w:rPr>
              <w:t>（五）改革创新蹄疾步稳。围绕减负、松绑，聚焦主责主业，统筹推进体制机制改革创新。州绩效办对高新区绩效实行单列考核、单独定等，实现了绩效考核差异化。坚持厘清政企边界，理顺管理架构，强化经营理念，加快剥离隐性债务，“国企改革提质增效”三年行动收官，吉投集团公司“集团化、市场化、专业化”改革成效初显，公司资产总额突破百亿元大关，市场化转型稳步推进。积极推动行政审批改革，园区赋权事项有效承接落地，“一枚印章管审批”开创园区新模式，改革创新不断向纵深推进。</w:t>
            </w:r>
          </w:p>
          <w:p>
            <w:pPr>
              <w:pStyle w:val="3"/>
              <w:spacing w:line="540" w:lineRule="exact"/>
              <w:ind w:left="0" w:firstLine="480" w:firstLineChars="200"/>
              <w:rPr>
                <w:rFonts w:eastAsia="仿宋_GB2312" w:cs="仿宋_GB2312"/>
                <w:sz w:val="24"/>
              </w:rPr>
            </w:pPr>
            <w:r>
              <w:rPr>
                <w:rFonts w:hint="eastAsia" w:eastAsia="仿宋_GB2312" w:cs="仿宋_GB2312"/>
                <w:sz w:val="24"/>
              </w:rPr>
              <w:t>（六）风险防范有力有效。严格按照“疫情要防住、经济要稳住、发展要安全”要求，积极应对风险挑战。全面压紧压实疫情防控“四方责任”，高效、高质完成了州（亚）准定点救治医院建设。切实加强州委违规举债和虚假化债专项巡察反馈问题整改，偿还隐性债务1.34亿元，已整改问题17个，有力防范了债务和金融风险。扎实开展“清廉园区”建设，构建亲清政商关系</w:t>
            </w:r>
            <w:r>
              <w:rPr>
                <w:rFonts w:eastAsia="仿宋_GB2312" w:cs="仿宋_GB2312"/>
                <w:sz w:val="24"/>
              </w:rPr>
              <w:t>；</w:t>
            </w:r>
            <w:r>
              <w:rPr>
                <w:rFonts w:hint="eastAsia" w:eastAsia="仿宋_GB2312" w:cs="仿宋_GB2312"/>
                <w:sz w:val="24"/>
              </w:rPr>
              <w:t>深入排查化解安全生产隐患，扎实开展“三稳三保”工作，</w:t>
            </w:r>
            <w:r>
              <w:rPr>
                <w:rFonts w:eastAsia="仿宋_GB2312" w:cs="仿宋_GB2312"/>
                <w:sz w:val="24"/>
              </w:rPr>
              <w:t>争取到</w:t>
            </w:r>
            <w:r>
              <w:rPr>
                <w:rFonts w:hint="eastAsia" w:eastAsia="仿宋_GB2312" w:cs="仿宋_GB2312"/>
                <w:sz w:val="24"/>
              </w:rPr>
              <w:t>3.1亿元保交楼专项借款资金</w:t>
            </w:r>
            <w:r>
              <w:rPr>
                <w:rFonts w:eastAsia="仿宋_GB2312" w:cs="仿宋_GB2312"/>
                <w:sz w:val="24"/>
              </w:rPr>
              <w:t>；</w:t>
            </w:r>
            <w:r>
              <w:rPr>
                <w:rFonts w:hint="eastAsia" w:eastAsia="仿宋_GB2312" w:cs="仿宋_GB2312"/>
                <w:sz w:val="24"/>
              </w:rPr>
              <w:t>探索创新“四三制”工作法，统筹推进基层社会矛盾纠纷防范化解，社会大局和谐稳定。</w:t>
            </w:r>
          </w:p>
          <w:p>
            <w:pPr>
              <w:autoSpaceDN w:val="0"/>
              <w:spacing w:line="60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923" w:type="dxa"/>
            <w:gridSpan w:val="22"/>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923" w:type="dxa"/>
            <w:gridSpan w:val="22"/>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5"/>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191" w:type="dxa"/>
            <w:gridSpan w:val="2"/>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7034" w:type="dxa"/>
            <w:gridSpan w:val="15"/>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5"/>
            <w:vMerge w:val="continue"/>
            <w:vAlign w:val="center"/>
          </w:tcPr>
          <w:p>
            <w:pPr>
              <w:autoSpaceDN w:val="0"/>
              <w:spacing w:line="320" w:lineRule="exact"/>
              <w:jc w:val="center"/>
              <w:textAlignment w:val="center"/>
              <w:rPr>
                <w:rFonts w:eastAsia="仿宋_GB2312" w:cs="仿宋_GB2312"/>
                <w:sz w:val="24"/>
              </w:rPr>
            </w:pPr>
          </w:p>
        </w:tc>
        <w:tc>
          <w:tcPr>
            <w:tcW w:w="1191" w:type="dxa"/>
            <w:gridSpan w:val="2"/>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244"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10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1761"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80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203"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2" w:hRule="atLeast"/>
          <w:jc w:val="center"/>
        </w:trPr>
        <w:tc>
          <w:tcPr>
            <w:tcW w:w="1698"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机关及二级机构汇总</w:t>
            </w:r>
          </w:p>
        </w:tc>
        <w:tc>
          <w:tcPr>
            <w:tcW w:w="1191"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20020.13</w:t>
            </w:r>
          </w:p>
        </w:tc>
        <w:tc>
          <w:tcPr>
            <w:tcW w:w="1244"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4710.12</w:t>
            </w:r>
          </w:p>
        </w:tc>
        <w:tc>
          <w:tcPr>
            <w:tcW w:w="10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13942.96</w:t>
            </w:r>
          </w:p>
        </w:tc>
        <w:tc>
          <w:tcPr>
            <w:tcW w:w="1761" w:type="dxa"/>
            <w:gridSpan w:val="5"/>
            <w:vAlign w:val="center"/>
          </w:tcPr>
          <w:p>
            <w:pPr>
              <w:autoSpaceDN w:val="0"/>
              <w:spacing w:line="320" w:lineRule="exact"/>
              <w:ind w:firstLine="480" w:firstLineChars="200"/>
              <w:textAlignment w:val="center"/>
              <w:rPr>
                <w:rFonts w:eastAsia="仿宋_GB2312" w:cs="仿宋_GB2312"/>
                <w:sz w:val="24"/>
              </w:rPr>
            </w:pPr>
            <w:r>
              <w:rPr>
                <w:rFonts w:hint="eastAsia" w:eastAsia="仿宋_GB2312" w:cs="仿宋_GB2312"/>
                <w:sz w:val="24"/>
              </w:rPr>
              <w:t>118.63</w:t>
            </w:r>
          </w:p>
        </w:tc>
        <w:tc>
          <w:tcPr>
            <w:tcW w:w="1800" w:type="dxa"/>
            <w:gridSpan w:val="2"/>
            <w:vAlign w:val="center"/>
          </w:tcPr>
          <w:p>
            <w:pPr>
              <w:autoSpaceDN w:val="0"/>
              <w:spacing w:line="320" w:lineRule="exact"/>
              <w:jc w:val="center"/>
              <w:textAlignment w:val="center"/>
              <w:rPr>
                <w:rFonts w:eastAsia="仿宋_GB2312" w:cs="仿宋_GB2312"/>
                <w:sz w:val="24"/>
              </w:rPr>
            </w:pPr>
          </w:p>
        </w:tc>
        <w:tc>
          <w:tcPr>
            <w:tcW w:w="1203" w:type="dxa"/>
            <w:gridSpan w:val="3"/>
            <w:vAlign w:val="center"/>
          </w:tcPr>
          <w:p>
            <w:pPr>
              <w:autoSpaceDN w:val="0"/>
              <w:spacing w:line="320" w:lineRule="exact"/>
              <w:textAlignment w:val="center"/>
              <w:rPr>
                <w:rFonts w:eastAsia="仿宋_GB2312" w:cs="仿宋_GB2312"/>
                <w:sz w:val="24"/>
              </w:rPr>
            </w:pPr>
            <w:r>
              <w:rPr>
                <w:rFonts w:hint="eastAsia" w:eastAsia="仿宋_GB2312" w:cs="仿宋_GB2312"/>
                <w:sz w:val="24"/>
              </w:rPr>
              <w:t>1248.42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7" w:hRule="atLeast"/>
          <w:jc w:val="center"/>
        </w:trPr>
        <w:tc>
          <w:tcPr>
            <w:tcW w:w="1698" w:type="dxa"/>
            <w:gridSpan w:val="5"/>
            <w:vAlign w:val="center"/>
          </w:tcPr>
          <w:p>
            <w:pPr>
              <w:spacing w:line="320" w:lineRule="exact"/>
              <w:rPr>
                <w:rFonts w:eastAsia="仿宋_GB2312" w:cs="仿宋_GB2312"/>
                <w:sz w:val="24"/>
              </w:rPr>
            </w:pPr>
            <w:r>
              <w:rPr>
                <w:rFonts w:hint="eastAsia" w:eastAsia="仿宋_GB2312" w:cs="仿宋_GB2312"/>
                <w:sz w:val="24"/>
              </w:rPr>
              <w:t>1、机关</w:t>
            </w:r>
          </w:p>
        </w:tc>
        <w:tc>
          <w:tcPr>
            <w:tcW w:w="1191"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20020.13</w:t>
            </w:r>
          </w:p>
        </w:tc>
        <w:tc>
          <w:tcPr>
            <w:tcW w:w="1244"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4710.12</w:t>
            </w:r>
          </w:p>
        </w:tc>
        <w:tc>
          <w:tcPr>
            <w:tcW w:w="10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13942.96</w:t>
            </w:r>
          </w:p>
        </w:tc>
        <w:tc>
          <w:tcPr>
            <w:tcW w:w="1761" w:type="dxa"/>
            <w:gridSpan w:val="5"/>
            <w:vAlign w:val="center"/>
          </w:tcPr>
          <w:p>
            <w:pPr>
              <w:autoSpaceDN w:val="0"/>
              <w:spacing w:line="320" w:lineRule="exact"/>
              <w:ind w:firstLine="480" w:firstLineChars="200"/>
              <w:textAlignment w:val="center"/>
              <w:rPr>
                <w:rFonts w:eastAsia="仿宋_GB2312" w:cs="仿宋_GB2312"/>
                <w:sz w:val="24"/>
              </w:rPr>
            </w:pPr>
            <w:r>
              <w:rPr>
                <w:rFonts w:hint="eastAsia" w:eastAsia="仿宋_GB2312" w:cs="仿宋_GB2312"/>
                <w:sz w:val="24"/>
              </w:rPr>
              <w:t>118.63</w:t>
            </w:r>
          </w:p>
        </w:tc>
        <w:tc>
          <w:tcPr>
            <w:tcW w:w="1800" w:type="dxa"/>
            <w:gridSpan w:val="2"/>
            <w:vAlign w:val="center"/>
          </w:tcPr>
          <w:p>
            <w:pPr>
              <w:autoSpaceDN w:val="0"/>
              <w:spacing w:line="320" w:lineRule="exact"/>
              <w:jc w:val="center"/>
              <w:textAlignment w:val="center"/>
              <w:rPr>
                <w:rFonts w:eastAsia="仿宋_GB2312" w:cs="仿宋_GB2312"/>
                <w:sz w:val="24"/>
              </w:rPr>
            </w:pPr>
          </w:p>
        </w:tc>
        <w:tc>
          <w:tcPr>
            <w:tcW w:w="1203" w:type="dxa"/>
            <w:gridSpan w:val="3"/>
            <w:vAlign w:val="center"/>
          </w:tcPr>
          <w:p>
            <w:pPr>
              <w:autoSpaceDN w:val="0"/>
              <w:spacing w:line="320" w:lineRule="exact"/>
              <w:textAlignment w:val="center"/>
              <w:rPr>
                <w:rFonts w:eastAsia="仿宋_GB2312" w:cs="仿宋_GB2312"/>
                <w:sz w:val="24"/>
              </w:rPr>
            </w:pPr>
            <w:r>
              <w:rPr>
                <w:rFonts w:hint="eastAsia" w:eastAsia="仿宋_GB2312" w:cs="仿宋_GB2312"/>
                <w:sz w:val="24"/>
              </w:rPr>
              <w:t>1248.42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5"/>
            <w:vAlign w:val="center"/>
          </w:tcPr>
          <w:p>
            <w:pPr>
              <w:spacing w:line="320" w:lineRule="exact"/>
              <w:rPr>
                <w:rFonts w:eastAsia="仿宋_GB2312" w:cs="仿宋_GB2312"/>
                <w:sz w:val="24"/>
              </w:rPr>
            </w:pPr>
            <w:r>
              <w:rPr>
                <w:rFonts w:hint="eastAsia" w:eastAsia="仿宋_GB2312" w:cs="仿宋_GB2312"/>
                <w:sz w:val="24"/>
              </w:rPr>
              <w:t>2、二级机构1</w:t>
            </w:r>
          </w:p>
        </w:tc>
        <w:tc>
          <w:tcPr>
            <w:tcW w:w="1191" w:type="dxa"/>
            <w:gridSpan w:val="2"/>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244"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26" w:type="dxa"/>
            <w:gridSpan w:val="2"/>
            <w:vAlign w:val="center"/>
          </w:tcPr>
          <w:p>
            <w:pPr>
              <w:autoSpaceDN w:val="0"/>
              <w:spacing w:line="320" w:lineRule="exact"/>
              <w:jc w:val="left"/>
              <w:textAlignment w:val="center"/>
              <w:rPr>
                <w:rFonts w:eastAsia="仿宋_GB2312" w:cs="仿宋_GB2312"/>
                <w:sz w:val="24"/>
              </w:rPr>
            </w:pPr>
          </w:p>
        </w:tc>
        <w:tc>
          <w:tcPr>
            <w:tcW w:w="1761" w:type="dxa"/>
            <w:gridSpan w:val="5"/>
            <w:vAlign w:val="center"/>
          </w:tcPr>
          <w:p>
            <w:pPr>
              <w:autoSpaceDN w:val="0"/>
              <w:spacing w:line="320" w:lineRule="exact"/>
              <w:jc w:val="left"/>
              <w:textAlignment w:val="center"/>
              <w:rPr>
                <w:rFonts w:eastAsia="仿宋_GB2312" w:cs="仿宋_GB2312"/>
                <w:sz w:val="24"/>
              </w:rPr>
            </w:pPr>
          </w:p>
        </w:tc>
        <w:tc>
          <w:tcPr>
            <w:tcW w:w="1800" w:type="dxa"/>
            <w:gridSpan w:val="2"/>
            <w:vAlign w:val="center"/>
          </w:tcPr>
          <w:p>
            <w:pPr>
              <w:autoSpaceDN w:val="0"/>
              <w:spacing w:line="320" w:lineRule="exact"/>
              <w:jc w:val="center"/>
              <w:textAlignment w:val="center"/>
              <w:rPr>
                <w:rFonts w:eastAsia="仿宋_GB2312" w:cs="仿宋_GB2312"/>
                <w:sz w:val="24"/>
              </w:rPr>
            </w:pPr>
          </w:p>
        </w:tc>
        <w:tc>
          <w:tcPr>
            <w:tcW w:w="1203"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5"/>
            <w:vAlign w:val="center"/>
          </w:tcPr>
          <w:p>
            <w:pPr>
              <w:spacing w:line="320" w:lineRule="exact"/>
              <w:rPr>
                <w:rFonts w:eastAsia="仿宋_GB2312" w:cs="仿宋_GB2312"/>
                <w:sz w:val="24"/>
              </w:rPr>
            </w:pPr>
            <w:r>
              <w:rPr>
                <w:rFonts w:hint="eastAsia" w:eastAsia="仿宋_GB2312" w:cs="仿宋_GB2312"/>
                <w:sz w:val="24"/>
              </w:rPr>
              <w:t>3、二级机构2</w:t>
            </w:r>
          </w:p>
        </w:tc>
        <w:tc>
          <w:tcPr>
            <w:tcW w:w="1191" w:type="dxa"/>
            <w:gridSpan w:val="2"/>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244"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26" w:type="dxa"/>
            <w:gridSpan w:val="2"/>
            <w:vAlign w:val="center"/>
          </w:tcPr>
          <w:p>
            <w:pPr>
              <w:autoSpaceDN w:val="0"/>
              <w:spacing w:line="320" w:lineRule="exact"/>
              <w:jc w:val="left"/>
              <w:textAlignment w:val="center"/>
              <w:rPr>
                <w:rFonts w:eastAsia="仿宋_GB2312" w:cs="仿宋_GB2312"/>
                <w:sz w:val="24"/>
              </w:rPr>
            </w:pPr>
          </w:p>
        </w:tc>
        <w:tc>
          <w:tcPr>
            <w:tcW w:w="1761" w:type="dxa"/>
            <w:gridSpan w:val="5"/>
            <w:vAlign w:val="center"/>
          </w:tcPr>
          <w:p>
            <w:pPr>
              <w:autoSpaceDN w:val="0"/>
              <w:spacing w:line="320" w:lineRule="exact"/>
              <w:jc w:val="left"/>
              <w:textAlignment w:val="center"/>
              <w:rPr>
                <w:rFonts w:eastAsia="仿宋_GB2312" w:cs="仿宋_GB2312"/>
                <w:sz w:val="24"/>
              </w:rPr>
            </w:pPr>
          </w:p>
        </w:tc>
        <w:tc>
          <w:tcPr>
            <w:tcW w:w="1800" w:type="dxa"/>
            <w:gridSpan w:val="2"/>
            <w:vAlign w:val="center"/>
          </w:tcPr>
          <w:p>
            <w:pPr>
              <w:autoSpaceDN w:val="0"/>
              <w:spacing w:line="320" w:lineRule="exact"/>
              <w:jc w:val="center"/>
              <w:textAlignment w:val="center"/>
              <w:rPr>
                <w:rFonts w:eastAsia="仿宋_GB2312" w:cs="仿宋_GB2312"/>
                <w:sz w:val="24"/>
              </w:rPr>
            </w:pPr>
          </w:p>
        </w:tc>
        <w:tc>
          <w:tcPr>
            <w:tcW w:w="1203"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923" w:type="dxa"/>
            <w:gridSpan w:val="22"/>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5"/>
            <w:vMerge w:val="restart"/>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223" w:type="dxa"/>
            <w:gridSpan w:val="3"/>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4658" w:type="dxa"/>
            <w:gridSpan w:val="10"/>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2344" w:type="dxa"/>
            <w:gridSpan w:val="4"/>
            <w:tcBorders>
              <w:left w:val="single" w:color="auto" w:sz="4" w:space="0"/>
              <w:bottom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5"/>
            <w:vMerge w:val="continue"/>
            <w:vAlign w:val="center"/>
          </w:tcPr>
          <w:p>
            <w:pPr>
              <w:spacing w:line="320" w:lineRule="exact"/>
              <w:jc w:val="center"/>
              <w:rPr>
                <w:rFonts w:eastAsia="仿宋_GB2312" w:cs="仿宋_GB2312"/>
                <w:sz w:val="24"/>
              </w:rPr>
            </w:pPr>
          </w:p>
        </w:tc>
        <w:tc>
          <w:tcPr>
            <w:tcW w:w="1223" w:type="dxa"/>
            <w:gridSpan w:val="3"/>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024"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2523" w:type="dxa"/>
            <w:gridSpan w:val="4"/>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111" w:type="dxa"/>
            <w:gridSpan w:val="5"/>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1211"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当年结余</w:t>
            </w:r>
          </w:p>
        </w:tc>
        <w:tc>
          <w:tcPr>
            <w:tcW w:w="1133"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5"/>
            <w:vMerge w:val="continue"/>
            <w:vAlign w:val="center"/>
          </w:tcPr>
          <w:p>
            <w:pPr>
              <w:spacing w:line="320" w:lineRule="exact"/>
              <w:jc w:val="center"/>
              <w:rPr>
                <w:rFonts w:eastAsia="仿宋_GB2312" w:cs="仿宋_GB2312"/>
                <w:sz w:val="24"/>
              </w:rPr>
            </w:pPr>
          </w:p>
        </w:tc>
        <w:tc>
          <w:tcPr>
            <w:tcW w:w="1223" w:type="dxa"/>
            <w:gridSpan w:val="3"/>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024"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214"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130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1111" w:type="dxa"/>
            <w:gridSpan w:val="5"/>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211"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p>
        </w:tc>
        <w:tc>
          <w:tcPr>
            <w:tcW w:w="1133" w:type="dxa"/>
            <w:gridSpan w:val="2"/>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9"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机关及二级机构汇总</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20020.13</w:t>
            </w:r>
          </w:p>
        </w:tc>
        <w:tc>
          <w:tcPr>
            <w:tcW w:w="1024"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3274.52</w:t>
            </w:r>
          </w:p>
        </w:tc>
        <w:tc>
          <w:tcPr>
            <w:tcW w:w="1214"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2993.08</w:t>
            </w:r>
          </w:p>
        </w:tc>
        <w:tc>
          <w:tcPr>
            <w:tcW w:w="130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281.45</w:t>
            </w:r>
          </w:p>
        </w:tc>
        <w:tc>
          <w:tcPr>
            <w:tcW w:w="1111"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16745.62</w:t>
            </w:r>
          </w:p>
        </w:tc>
        <w:tc>
          <w:tcPr>
            <w:tcW w:w="1211"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133"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1、机关</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20020.13</w:t>
            </w:r>
          </w:p>
        </w:tc>
        <w:tc>
          <w:tcPr>
            <w:tcW w:w="1024"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3274.52</w:t>
            </w:r>
          </w:p>
        </w:tc>
        <w:tc>
          <w:tcPr>
            <w:tcW w:w="1214"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2993.08</w:t>
            </w:r>
          </w:p>
        </w:tc>
        <w:tc>
          <w:tcPr>
            <w:tcW w:w="130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281.45</w:t>
            </w:r>
          </w:p>
        </w:tc>
        <w:tc>
          <w:tcPr>
            <w:tcW w:w="1111"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16745.62</w:t>
            </w:r>
          </w:p>
        </w:tc>
        <w:tc>
          <w:tcPr>
            <w:tcW w:w="1211"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133"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5"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024"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214" w:type="dxa"/>
            <w:gridSpan w:val="3"/>
            <w:vAlign w:val="center"/>
          </w:tcPr>
          <w:p>
            <w:pPr>
              <w:autoSpaceDN w:val="0"/>
              <w:spacing w:line="320" w:lineRule="exact"/>
              <w:jc w:val="center"/>
              <w:textAlignment w:val="center"/>
              <w:rPr>
                <w:rFonts w:eastAsia="仿宋_GB2312" w:cs="仿宋_GB2312"/>
                <w:sz w:val="24"/>
              </w:rPr>
            </w:pPr>
          </w:p>
        </w:tc>
        <w:tc>
          <w:tcPr>
            <w:tcW w:w="1309" w:type="dxa"/>
            <w:vAlign w:val="center"/>
          </w:tcPr>
          <w:p>
            <w:pPr>
              <w:autoSpaceDN w:val="0"/>
              <w:spacing w:line="320" w:lineRule="exact"/>
              <w:jc w:val="center"/>
              <w:textAlignment w:val="center"/>
              <w:rPr>
                <w:rFonts w:eastAsia="仿宋_GB2312" w:cs="仿宋_GB2312"/>
                <w:sz w:val="24"/>
              </w:rPr>
            </w:pPr>
          </w:p>
        </w:tc>
        <w:tc>
          <w:tcPr>
            <w:tcW w:w="1111" w:type="dxa"/>
            <w:gridSpan w:val="5"/>
            <w:vAlign w:val="center"/>
          </w:tcPr>
          <w:p>
            <w:pPr>
              <w:autoSpaceDN w:val="0"/>
              <w:spacing w:line="320" w:lineRule="exact"/>
              <w:jc w:val="center"/>
              <w:textAlignment w:val="center"/>
              <w:rPr>
                <w:rFonts w:eastAsia="仿宋_GB2312" w:cs="仿宋_GB2312"/>
                <w:sz w:val="24"/>
              </w:rPr>
            </w:pPr>
          </w:p>
        </w:tc>
        <w:tc>
          <w:tcPr>
            <w:tcW w:w="1211"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133"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0"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024"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214" w:type="dxa"/>
            <w:gridSpan w:val="3"/>
            <w:vAlign w:val="center"/>
          </w:tcPr>
          <w:p>
            <w:pPr>
              <w:autoSpaceDN w:val="0"/>
              <w:spacing w:line="320" w:lineRule="exact"/>
              <w:jc w:val="center"/>
              <w:textAlignment w:val="center"/>
              <w:rPr>
                <w:rFonts w:eastAsia="仿宋_GB2312" w:cs="仿宋_GB2312"/>
                <w:sz w:val="24"/>
              </w:rPr>
            </w:pPr>
          </w:p>
        </w:tc>
        <w:tc>
          <w:tcPr>
            <w:tcW w:w="1309" w:type="dxa"/>
            <w:vAlign w:val="center"/>
          </w:tcPr>
          <w:p>
            <w:pPr>
              <w:autoSpaceDN w:val="0"/>
              <w:spacing w:line="320" w:lineRule="exact"/>
              <w:jc w:val="center"/>
              <w:textAlignment w:val="center"/>
              <w:rPr>
                <w:rFonts w:eastAsia="仿宋_GB2312" w:cs="仿宋_GB2312"/>
                <w:sz w:val="24"/>
              </w:rPr>
            </w:pPr>
          </w:p>
        </w:tc>
        <w:tc>
          <w:tcPr>
            <w:tcW w:w="1111" w:type="dxa"/>
            <w:gridSpan w:val="5"/>
            <w:vAlign w:val="center"/>
          </w:tcPr>
          <w:p>
            <w:pPr>
              <w:autoSpaceDN w:val="0"/>
              <w:spacing w:line="320" w:lineRule="exact"/>
              <w:jc w:val="center"/>
              <w:textAlignment w:val="center"/>
              <w:rPr>
                <w:rFonts w:eastAsia="仿宋_GB2312" w:cs="仿宋_GB2312"/>
                <w:sz w:val="24"/>
              </w:rPr>
            </w:pPr>
          </w:p>
        </w:tc>
        <w:tc>
          <w:tcPr>
            <w:tcW w:w="1211"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133"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5"/>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223" w:type="dxa"/>
            <w:gridSpan w:val="3"/>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02" w:type="dxa"/>
            <w:gridSpan w:val="1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5"/>
            <w:vMerge w:val="continue"/>
            <w:vAlign w:val="center"/>
          </w:tcPr>
          <w:p>
            <w:pPr>
              <w:spacing w:line="320" w:lineRule="exact"/>
              <w:jc w:val="center"/>
              <w:rPr>
                <w:rFonts w:eastAsia="仿宋_GB2312" w:cs="仿宋_GB2312"/>
                <w:sz w:val="24"/>
              </w:rPr>
            </w:pPr>
          </w:p>
        </w:tc>
        <w:tc>
          <w:tcPr>
            <w:tcW w:w="1223" w:type="dxa"/>
            <w:gridSpan w:val="3"/>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212"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10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1514"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3250"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机关及二级机构汇总</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49.41</w:t>
            </w:r>
          </w:p>
        </w:tc>
        <w:tc>
          <w:tcPr>
            <w:tcW w:w="1212"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43.43</w:t>
            </w:r>
          </w:p>
        </w:tc>
        <w:tc>
          <w:tcPr>
            <w:tcW w:w="10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5.98</w:t>
            </w:r>
          </w:p>
        </w:tc>
        <w:tc>
          <w:tcPr>
            <w:tcW w:w="1514" w:type="dxa"/>
            <w:gridSpan w:val="2"/>
            <w:vAlign w:val="center"/>
          </w:tcPr>
          <w:p>
            <w:pPr>
              <w:autoSpaceDN w:val="0"/>
              <w:spacing w:line="320" w:lineRule="exact"/>
              <w:jc w:val="center"/>
              <w:textAlignment w:val="center"/>
              <w:rPr>
                <w:rFonts w:eastAsia="仿宋_GB2312" w:cs="仿宋_GB2312"/>
                <w:sz w:val="24"/>
              </w:rPr>
            </w:pPr>
          </w:p>
        </w:tc>
        <w:tc>
          <w:tcPr>
            <w:tcW w:w="3250"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1、机关</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49.41</w:t>
            </w:r>
          </w:p>
        </w:tc>
        <w:tc>
          <w:tcPr>
            <w:tcW w:w="1212"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43.43</w:t>
            </w:r>
          </w:p>
        </w:tc>
        <w:tc>
          <w:tcPr>
            <w:tcW w:w="10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5.98</w:t>
            </w:r>
          </w:p>
        </w:tc>
        <w:tc>
          <w:tcPr>
            <w:tcW w:w="1514" w:type="dxa"/>
            <w:gridSpan w:val="2"/>
            <w:vAlign w:val="center"/>
          </w:tcPr>
          <w:p>
            <w:pPr>
              <w:autoSpaceDN w:val="0"/>
              <w:spacing w:line="320" w:lineRule="exact"/>
              <w:jc w:val="center"/>
              <w:textAlignment w:val="center"/>
              <w:rPr>
                <w:rFonts w:eastAsia="仿宋_GB2312" w:cs="仿宋_GB2312"/>
                <w:sz w:val="24"/>
              </w:rPr>
            </w:pPr>
          </w:p>
        </w:tc>
        <w:tc>
          <w:tcPr>
            <w:tcW w:w="3250"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212"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26" w:type="dxa"/>
            <w:gridSpan w:val="2"/>
            <w:vAlign w:val="center"/>
          </w:tcPr>
          <w:p>
            <w:pPr>
              <w:autoSpaceDN w:val="0"/>
              <w:spacing w:line="320" w:lineRule="exact"/>
              <w:jc w:val="center"/>
              <w:textAlignment w:val="center"/>
              <w:rPr>
                <w:rFonts w:eastAsia="仿宋_GB2312" w:cs="仿宋_GB2312"/>
                <w:sz w:val="24"/>
              </w:rPr>
            </w:pPr>
          </w:p>
        </w:tc>
        <w:tc>
          <w:tcPr>
            <w:tcW w:w="1514" w:type="dxa"/>
            <w:gridSpan w:val="2"/>
            <w:vAlign w:val="center"/>
          </w:tcPr>
          <w:p>
            <w:pPr>
              <w:autoSpaceDN w:val="0"/>
              <w:spacing w:line="320" w:lineRule="exact"/>
              <w:jc w:val="center"/>
              <w:textAlignment w:val="center"/>
              <w:rPr>
                <w:rFonts w:eastAsia="仿宋_GB2312" w:cs="仿宋_GB2312"/>
                <w:sz w:val="24"/>
              </w:rPr>
            </w:pPr>
          </w:p>
        </w:tc>
        <w:tc>
          <w:tcPr>
            <w:tcW w:w="3250"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212"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26" w:type="dxa"/>
            <w:gridSpan w:val="2"/>
            <w:vAlign w:val="center"/>
          </w:tcPr>
          <w:p>
            <w:pPr>
              <w:autoSpaceDN w:val="0"/>
              <w:spacing w:line="320" w:lineRule="exact"/>
              <w:jc w:val="center"/>
              <w:textAlignment w:val="center"/>
              <w:rPr>
                <w:rFonts w:eastAsia="仿宋_GB2312" w:cs="仿宋_GB2312"/>
                <w:sz w:val="24"/>
              </w:rPr>
            </w:pPr>
          </w:p>
        </w:tc>
        <w:tc>
          <w:tcPr>
            <w:tcW w:w="1514" w:type="dxa"/>
            <w:gridSpan w:val="2"/>
            <w:vAlign w:val="center"/>
          </w:tcPr>
          <w:p>
            <w:pPr>
              <w:autoSpaceDN w:val="0"/>
              <w:spacing w:line="320" w:lineRule="exact"/>
              <w:jc w:val="center"/>
              <w:textAlignment w:val="center"/>
              <w:rPr>
                <w:rFonts w:eastAsia="仿宋_GB2312" w:cs="仿宋_GB2312"/>
                <w:sz w:val="24"/>
              </w:rPr>
            </w:pPr>
          </w:p>
        </w:tc>
        <w:tc>
          <w:tcPr>
            <w:tcW w:w="3250"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1" w:hRule="atLeast"/>
          <w:jc w:val="center"/>
        </w:trPr>
        <w:tc>
          <w:tcPr>
            <w:tcW w:w="1698" w:type="dxa"/>
            <w:gridSpan w:val="5"/>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223" w:type="dxa"/>
            <w:gridSpan w:val="3"/>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02" w:type="dxa"/>
            <w:gridSpan w:val="14"/>
            <w:tcBorders>
              <w:left w:val="single" w:color="auto" w:sz="4" w:space="0"/>
            </w:tcBorders>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9" w:hRule="atLeast"/>
          <w:jc w:val="center"/>
        </w:trPr>
        <w:tc>
          <w:tcPr>
            <w:tcW w:w="1698" w:type="dxa"/>
            <w:gridSpan w:val="5"/>
            <w:vMerge w:val="continue"/>
            <w:vAlign w:val="center"/>
          </w:tcPr>
          <w:p>
            <w:pPr>
              <w:spacing w:line="320" w:lineRule="exact"/>
              <w:jc w:val="center"/>
              <w:rPr>
                <w:rFonts w:eastAsia="仿宋_GB2312" w:cs="仿宋_GB2312"/>
                <w:sz w:val="24"/>
              </w:rPr>
            </w:pPr>
          </w:p>
        </w:tc>
        <w:tc>
          <w:tcPr>
            <w:tcW w:w="1223" w:type="dxa"/>
            <w:gridSpan w:val="3"/>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238"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3700" w:type="dxa"/>
            <w:gridSpan w:val="9"/>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1064" w:type="dxa"/>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9"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机关及二级机构汇总</w:t>
            </w:r>
          </w:p>
        </w:tc>
        <w:tc>
          <w:tcPr>
            <w:tcW w:w="1223" w:type="dxa"/>
            <w:gridSpan w:val="3"/>
            <w:tcBorders>
              <w:right w:val="single" w:color="auto" w:sz="4" w:space="0"/>
            </w:tcBorders>
            <w:vAlign w:val="center"/>
          </w:tcPr>
          <w:p>
            <w:pPr>
              <w:autoSpaceDN w:val="0"/>
              <w:spacing w:line="320" w:lineRule="exact"/>
              <w:ind w:firstLine="240" w:firstLineChars="100"/>
              <w:textAlignment w:val="center"/>
              <w:rPr>
                <w:rFonts w:eastAsia="仿宋_GB2312" w:cs="仿宋_GB2312"/>
                <w:sz w:val="24"/>
              </w:rPr>
            </w:pPr>
            <w:r>
              <w:rPr>
                <w:rFonts w:hint="eastAsia" w:eastAsia="仿宋_GB2312" w:cs="仿宋_GB2312"/>
                <w:sz w:val="24"/>
              </w:rPr>
              <w:t>5381.95</w:t>
            </w:r>
          </w:p>
        </w:tc>
        <w:tc>
          <w:tcPr>
            <w:tcW w:w="2238" w:type="dxa"/>
            <w:gridSpan w:val="4"/>
            <w:tcBorders>
              <w:left w:val="single" w:color="auto" w:sz="4" w:space="0"/>
            </w:tcBorders>
            <w:vAlign w:val="center"/>
          </w:tcPr>
          <w:p>
            <w:pPr>
              <w:autoSpaceDN w:val="0"/>
              <w:spacing w:line="320" w:lineRule="exact"/>
              <w:ind w:firstLine="960" w:firstLineChars="400"/>
              <w:textAlignment w:val="center"/>
              <w:rPr>
                <w:rFonts w:eastAsia="仿宋_GB2312" w:cs="仿宋_GB2312"/>
                <w:sz w:val="24"/>
              </w:rPr>
            </w:pPr>
            <w:r>
              <w:rPr>
                <w:rFonts w:hint="eastAsia" w:eastAsia="仿宋_GB2312" w:cs="仿宋_GB2312"/>
                <w:sz w:val="24"/>
              </w:rPr>
              <w:t>5381.95</w:t>
            </w:r>
          </w:p>
        </w:tc>
        <w:tc>
          <w:tcPr>
            <w:tcW w:w="3700" w:type="dxa"/>
            <w:gridSpan w:val="9"/>
            <w:vAlign w:val="center"/>
          </w:tcPr>
          <w:p>
            <w:pPr>
              <w:autoSpaceDN w:val="0"/>
              <w:spacing w:line="320" w:lineRule="exact"/>
              <w:jc w:val="center"/>
              <w:textAlignment w:val="center"/>
              <w:rPr>
                <w:rFonts w:eastAsia="仿宋_GB2312" w:cs="仿宋_GB2312"/>
                <w:sz w:val="24"/>
              </w:rPr>
            </w:pPr>
          </w:p>
        </w:tc>
        <w:tc>
          <w:tcPr>
            <w:tcW w:w="1064" w:type="dxa"/>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1、机关</w:t>
            </w:r>
          </w:p>
        </w:tc>
        <w:tc>
          <w:tcPr>
            <w:tcW w:w="1223" w:type="dxa"/>
            <w:gridSpan w:val="3"/>
            <w:tcBorders>
              <w:right w:val="single" w:color="auto" w:sz="4" w:space="0"/>
            </w:tcBorders>
            <w:vAlign w:val="center"/>
          </w:tcPr>
          <w:p>
            <w:pPr>
              <w:autoSpaceDN w:val="0"/>
              <w:spacing w:line="320" w:lineRule="exact"/>
              <w:ind w:firstLine="240" w:firstLineChars="100"/>
              <w:textAlignment w:val="center"/>
              <w:rPr>
                <w:rFonts w:eastAsia="仿宋_GB2312" w:cs="仿宋_GB2312"/>
                <w:sz w:val="24"/>
              </w:rPr>
            </w:pPr>
            <w:r>
              <w:rPr>
                <w:rFonts w:hint="eastAsia" w:eastAsia="仿宋_GB2312" w:cs="仿宋_GB2312"/>
                <w:sz w:val="24"/>
              </w:rPr>
              <w:t xml:space="preserve">                                                                                              </w:t>
            </w:r>
          </w:p>
        </w:tc>
        <w:tc>
          <w:tcPr>
            <w:tcW w:w="2238" w:type="dxa"/>
            <w:gridSpan w:val="4"/>
            <w:tcBorders>
              <w:left w:val="single" w:color="auto" w:sz="4" w:space="0"/>
            </w:tcBorders>
            <w:vAlign w:val="center"/>
          </w:tcPr>
          <w:p>
            <w:pPr>
              <w:autoSpaceDN w:val="0"/>
              <w:spacing w:line="320" w:lineRule="exact"/>
              <w:ind w:firstLine="960" w:firstLineChars="400"/>
              <w:textAlignment w:val="center"/>
              <w:rPr>
                <w:rFonts w:eastAsia="仿宋_GB2312" w:cs="仿宋_GB2312"/>
                <w:sz w:val="24"/>
              </w:rPr>
            </w:pPr>
            <w:r>
              <w:rPr>
                <w:rFonts w:hint="eastAsia" w:eastAsia="仿宋_GB2312" w:cs="仿宋_GB2312"/>
                <w:sz w:val="24"/>
              </w:rPr>
              <w:t>5381.95</w:t>
            </w:r>
          </w:p>
        </w:tc>
        <w:tc>
          <w:tcPr>
            <w:tcW w:w="3700" w:type="dxa"/>
            <w:gridSpan w:val="9"/>
            <w:vAlign w:val="center"/>
          </w:tcPr>
          <w:p>
            <w:pPr>
              <w:autoSpaceDN w:val="0"/>
              <w:spacing w:line="320" w:lineRule="exact"/>
              <w:jc w:val="center"/>
              <w:textAlignment w:val="center"/>
              <w:rPr>
                <w:rFonts w:eastAsia="仿宋_GB2312" w:cs="仿宋_GB2312"/>
                <w:sz w:val="24"/>
              </w:rPr>
            </w:pPr>
          </w:p>
        </w:tc>
        <w:tc>
          <w:tcPr>
            <w:tcW w:w="1064" w:type="dxa"/>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7"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238"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700" w:type="dxa"/>
            <w:gridSpan w:val="9"/>
            <w:vAlign w:val="center"/>
          </w:tcPr>
          <w:p>
            <w:pPr>
              <w:autoSpaceDN w:val="0"/>
              <w:spacing w:line="320" w:lineRule="exact"/>
              <w:jc w:val="center"/>
              <w:textAlignment w:val="center"/>
              <w:rPr>
                <w:rFonts w:eastAsia="仿宋_GB2312" w:cs="仿宋_GB2312"/>
                <w:sz w:val="24"/>
              </w:rPr>
            </w:pPr>
          </w:p>
        </w:tc>
        <w:tc>
          <w:tcPr>
            <w:tcW w:w="1064" w:type="dxa"/>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5" w:hRule="atLeast"/>
          <w:jc w:val="center"/>
        </w:trPr>
        <w:tc>
          <w:tcPr>
            <w:tcW w:w="1698" w:type="dxa"/>
            <w:gridSpan w:val="5"/>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223"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238"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700" w:type="dxa"/>
            <w:gridSpan w:val="9"/>
            <w:vAlign w:val="center"/>
          </w:tcPr>
          <w:p>
            <w:pPr>
              <w:autoSpaceDN w:val="0"/>
              <w:spacing w:line="320" w:lineRule="exact"/>
              <w:jc w:val="center"/>
              <w:textAlignment w:val="center"/>
              <w:rPr>
                <w:rFonts w:eastAsia="仿宋_GB2312" w:cs="仿宋_GB2312"/>
                <w:sz w:val="24"/>
              </w:rPr>
            </w:pPr>
          </w:p>
        </w:tc>
        <w:tc>
          <w:tcPr>
            <w:tcW w:w="1064" w:type="dxa"/>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7" w:hRule="atLeast"/>
          <w:jc w:val="center"/>
        </w:trPr>
        <w:tc>
          <w:tcPr>
            <w:tcW w:w="9923" w:type="dxa"/>
            <w:gridSpan w:val="22"/>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601"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3600" w:type="dxa"/>
            <w:gridSpan w:val="10"/>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预期目标</w:t>
            </w:r>
          </w:p>
        </w:tc>
        <w:tc>
          <w:tcPr>
            <w:tcW w:w="5722" w:type="dxa"/>
            <w:gridSpan w:val="11"/>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50" w:hRule="atLeast"/>
          <w:jc w:val="center"/>
        </w:trPr>
        <w:tc>
          <w:tcPr>
            <w:tcW w:w="601" w:type="dxa"/>
            <w:vMerge w:val="continue"/>
            <w:vAlign w:val="center"/>
          </w:tcPr>
          <w:p>
            <w:pPr>
              <w:spacing w:line="320" w:lineRule="exact"/>
              <w:rPr>
                <w:rFonts w:eastAsia="仿宋_GB2312" w:cs="仿宋_GB2312"/>
                <w:sz w:val="24"/>
              </w:rPr>
            </w:pPr>
          </w:p>
        </w:tc>
        <w:tc>
          <w:tcPr>
            <w:tcW w:w="3600" w:type="dxa"/>
            <w:gridSpan w:val="10"/>
            <w:vAlign w:val="center"/>
          </w:tcPr>
          <w:p>
            <w:pPr>
              <w:autoSpaceDN w:val="0"/>
              <w:spacing w:line="440" w:lineRule="exact"/>
              <w:jc w:val="left"/>
              <w:textAlignment w:val="center"/>
              <w:rPr>
                <w:rFonts w:eastAsia="仿宋_GB2312"/>
                <w:sz w:val="24"/>
              </w:rPr>
            </w:pPr>
            <w:r>
              <w:rPr>
                <w:rFonts w:eastAsia="仿宋_GB2312"/>
                <w:sz w:val="24"/>
              </w:rPr>
              <w:t>目标1</w:t>
            </w:r>
            <w:r>
              <w:rPr>
                <w:rFonts w:hint="eastAsia" w:eastAsia="仿宋_GB2312"/>
                <w:sz w:val="24"/>
              </w:rPr>
              <w:t>：经济运行稳中提质</w:t>
            </w:r>
            <w:r>
              <w:rPr>
                <w:rFonts w:eastAsia="仿宋_GB2312"/>
                <w:sz w:val="24"/>
              </w:rPr>
              <w:t>。</w:t>
            </w:r>
          </w:p>
          <w:p>
            <w:pPr>
              <w:autoSpaceDN w:val="0"/>
              <w:spacing w:line="440" w:lineRule="exact"/>
              <w:jc w:val="left"/>
              <w:textAlignment w:val="center"/>
              <w:rPr>
                <w:rFonts w:eastAsia="仿宋_GB2312"/>
                <w:sz w:val="24"/>
              </w:rPr>
            </w:pPr>
            <w:r>
              <w:rPr>
                <w:rFonts w:eastAsia="仿宋_GB2312"/>
                <w:sz w:val="24"/>
              </w:rPr>
              <w:t>目标2：</w:t>
            </w:r>
            <w:r>
              <w:rPr>
                <w:rFonts w:hint="eastAsia" w:eastAsia="仿宋_GB2312"/>
                <w:sz w:val="24"/>
              </w:rPr>
              <w:t>项目建设有序推进</w:t>
            </w:r>
            <w:r>
              <w:rPr>
                <w:rFonts w:eastAsia="仿宋_GB2312"/>
                <w:sz w:val="24"/>
              </w:rPr>
              <w:t>。</w:t>
            </w:r>
          </w:p>
          <w:p>
            <w:pPr>
              <w:autoSpaceDN w:val="0"/>
              <w:spacing w:line="440" w:lineRule="exact"/>
              <w:jc w:val="left"/>
              <w:textAlignment w:val="center"/>
              <w:rPr>
                <w:rFonts w:eastAsia="仿宋_GB2312"/>
                <w:sz w:val="24"/>
              </w:rPr>
            </w:pPr>
            <w:r>
              <w:rPr>
                <w:rFonts w:eastAsia="仿宋_GB2312"/>
                <w:sz w:val="24"/>
              </w:rPr>
              <w:t>目标3：</w:t>
            </w:r>
            <w:r>
              <w:rPr>
                <w:rFonts w:hint="eastAsia" w:eastAsia="仿宋_GB2312"/>
                <w:sz w:val="24"/>
              </w:rPr>
              <w:t>招商引资成效明显</w:t>
            </w:r>
            <w:r>
              <w:rPr>
                <w:rFonts w:eastAsia="仿宋_GB2312"/>
                <w:sz w:val="24"/>
              </w:rPr>
              <w:t>。</w:t>
            </w:r>
          </w:p>
          <w:p>
            <w:pPr>
              <w:autoSpaceDN w:val="0"/>
              <w:spacing w:line="440" w:lineRule="exact"/>
              <w:jc w:val="left"/>
              <w:textAlignment w:val="center"/>
              <w:rPr>
                <w:rFonts w:eastAsia="仿宋_GB2312"/>
                <w:sz w:val="24"/>
              </w:rPr>
            </w:pPr>
            <w:r>
              <w:rPr>
                <w:rFonts w:eastAsia="仿宋_GB2312"/>
                <w:sz w:val="24"/>
              </w:rPr>
              <w:t>目标4：</w:t>
            </w:r>
            <w:r>
              <w:rPr>
                <w:rFonts w:hint="eastAsia" w:eastAsia="仿宋_GB2312"/>
                <w:sz w:val="24"/>
              </w:rPr>
              <w:t>营商环境持续优化</w:t>
            </w:r>
            <w:r>
              <w:rPr>
                <w:rFonts w:eastAsia="仿宋_GB2312"/>
                <w:sz w:val="24"/>
              </w:rPr>
              <w:t>。</w:t>
            </w:r>
          </w:p>
          <w:p>
            <w:pPr>
              <w:autoSpaceDN w:val="0"/>
              <w:spacing w:line="440" w:lineRule="exact"/>
              <w:jc w:val="left"/>
              <w:textAlignment w:val="center"/>
              <w:rPr>
                <w:rFonts w:eastAsia="仿宋_GB2312"/>
                <w:sz w:val="24"/>
              </w:rPr>
            </w:pPr>
            <w:r>
              <w:rPr>
                <w:rFonts w:eastAsia="仿宋_GB2312"/>
                <w:sz w:val="24"/>
              </w:rPr>
              <w:t>目标5：部门预决算信息按规定及时公开。</w:t>
            </w:r>
          </w:p>
          <w:p>
            <w:pPr>
              <w:autoSpaceDN w:val="0"/>
              <w:spacing w:line="440" w:lineRule="exact"/>
              <w:jc w:val="left"/>
              <w:textAlignment w:val="center"/>
              <w:rPr>
                <w:rFonts w:eastAsia="仿宋_GB2312"/>
                <w:sz w:val="24"/>
              </w:rPr>
            </w:pPr>
            <w:r>
              <w:rPr>
                <w:rFonts w:eastAsia="仿宋_GB2312"/>
                <w:sz w:val="24"/>
              </w:rPr>
              <w:t>目标6：部门整体支出控制在预算内。</w:t>
            </w:r>
          </w:p>
          <w:p>
            <w:pPr>
              <w:autoSpaceDN w:val="0"/>
              <w:spacing w:line="440" w:lineRule="exact"/>
              <w:jc w:val="left"/>
              <w:textAlignment w:val="center"/>
              <w:rPr>
                <w:rFonts w:eastAsia="仿宋_GB2312"/>
                <w:sz w:val="24"/>
              </w:rPr>
            </w:pPr>
            <w:r>
              <w:rPr>
                <w:rFonts w:eastAsia="仿宋_GB2312"/>
                <w:sz w:val="24"/>
              </w:rPr>
              <w:t>目标7：</w:t>
            </w:r>
            <w:r>
              <w:rPr>
                <w:rFonts w:hint="eastAsia" w:eastAsia="仿宋_GB2312"/>
                <w:sz w:val="24"/>
              </w:rPr>
              <w:t>改革创新蹄疾步稳</w:t>
            </w:r>
            <w:r>
              <w:rPr>
                <w:rFonts w:eastAsia="仿宋_GB2312"/>
                <w:sz w:val="24"/>
              </w:rPr>
              <w:t>。</w:t>
            </w:r>
          </w:p>
          <w:p>
            <w:pPr>
              <w:autoSpaceDN w:val="0"/>
              <w:spacing w:line="440" w:lineRule="exact"/>
              <w:jc w:val="left"/>
              <w:textAlignment w:val="center"/>
              <w:rPr>
                <w:rFonts w:eastAsia="仿宋_GB2312"/>
                <w:sz w:val="24"/>
              </w:rPr>
            </w:pPr>
            <w:r>
              <w:rPr>
                <w:rFonts w:eastAsia="仿宋_GB2312"/>
                <w:sz w:val="24"/>
              </w:rPr>
              <w:t>目标8：</w:t>
            </w:r>
            <w:r>
              <w:rPr>
                <w:rFonts w:hint="eastAsia" w:eastAsia="仿宋_GB2312"/>
                <w:sz w:val="24"/>
              </w:rPr>
              <w:t>风险防范有力有效</w:t>
            </w:r>
            <w:r>
              <w:rPr>
                <w:rFonts w:eastAsia="仿宋_GB2312"/>
                <w:sz w:val="24"/>
              </w:rPr>
              <w:t>。</w:t>
            </w:r>
          </w:p>
          <w:p>
            <w:pPr>
              <w:autoSpaceDN w:val="0"/>
              <w:spacing w:line="320" w:lineRule="exact"/>
              <w:jc w:val="left"/>
              <w:textAlignment w:val="center"/>
              <w:rPr>
                <w:rFonts w:eastAsia="仿宋_GB2312" w:cs="仿宋_GB2312"/>
                <w:sz w:val="24"/>
              </w:rPr>
            </w:pPr>
          </w:p>
        </w:tc>
        <w:tc>
          <w:tcPr>
            <w:tcW w:w="5722" w:type="dxa"/>
            <w:gridSpan w:val="11"/>
          </w:tcPr>
          <w:p>
            <w:pPr>
              <w:autoSpaceDN w:val="0"/>
              <w:spacing w:line="420" w:lineRule="exact"/>
              <w:jc w:val="left"/>
              <w:textAlignment w:val="center"/>
              <w:rPr>
                <w:rFonts w:eastAsia="仿宋_GB2312"/>
                <w:sz w:val="24"/>
              </w:rPr>
            </w:pPr>
            <w:r>
              <w:rPr>
                <w:rFonts w:eastAsia="仿宋_GB2312"/>
                <w:sz w:val="24"/>
              </w:rPr>
              <w:t>目标1：</w:t>
            </w:r>
            <w:r>
              <w:rPr>
                <w:rFonts w:hint="eastAsia" w:eastAsia="仿宋_GB2312" w:cs="仿宋_GB2312"/>
                <w:sz w:val="24"/>
              </w:rPr>
              <w:t>全年实现地区GDP 84.6亿元，同比增长4.5%；预计完成固定资产投资54.5亿元，同比增长1.8%；预计规模工业增加值同比增长8.2%；预计完成技工贸收入221亿元，同比增长10%；实现地方财政收入3.87亿元，同比下降32%；预计引进省外境内资金30.08亿元，同比增长20.32%</w:t>
            </w:r>
          </w:p>
          <w:p>
            <w:pPr>
              <w:autoSpaceDN w:val="0"/>
              <w:spacing w:line="420" w:lineRule="exact"/>
              <w:jc w:val="left"/>
              <w:textAlignment w:val="center"/>
              <w:rPr>
                <w:rFonts w:eastAsia="仿宋_GB2312"/>
                <w:sz w:val="24"/>
              </w:rPr>
            </w:pPr>
            <w:r>
              <w:rPr>
                <w:rFonts w:eastAsia="仿宋_GB2312"/>
                <w:sz w:val="24"/>
              </w:rPr>
              <w:t>目标2：</w:t>
            </w:r>
            <w:r>
              <w:rPr>
                <w:rFonts w:hint="eastAsia" w:eastAsia="仿宋_GB2312" w:cs="仿宋_GB2312"/>
                <w:sz w:val="24"/>
              </w:rPr>
              <w:t>创新实施项目专班制，对项目进行全流程跟踪，组建前期工作、招商引资、项目实施、督导推进四个专班，分段负责，接力推进，全力优化项目建设环境。东区综合开发等一批重大项目开工建设，华美兴泰动力锂电池组、丰达合金新材料产业园等一批重大项目加快推进，武陵山智能制造基地等一批重大项目竣工,中印酒类包装智能制造生产项目等实现投产。</w:t>
            </w:r>
          </w:p>
          <w:p>
            <w:pPr>
              <w:autoSpaceDN w:val="0"/>
              <w:spacing w:line="420" w:lineRule="exact"/>
              <w:jc w:val="left"/>
              <w:textAlignment w:val="center"/>
              <w:rPr>
                <w:rFonts w:eastAsia="仿宋_GB2312"/>
                <w:sz w:val="24"/>
              </w:rPr>
            </w:pPr>
            <w:r>
              <w:rPr>
                <w:rFonts w:eastAsia="仿宋_GB2312"/>
                <w:sz w:val="24"/>
              </w:rPr>
              <w:t>目标3：</w:t>
            </w:r>
            <w:r>
              <w:rPr>
                <w:rFonts w:hint="eastAsia" w:eastAsia="仿宋_GB2312" w:cs="仿宋_GB2312"/>
                <w:sz w:val="24"/>
              </w:rPr>
              <w:t>坚持把招商引资作为“一号工程”，出台了《招商“第一人”奖励办法》等一系列重大政策，紧紧围绕“一主两特一配套”产业体系精准招商，荣获全省商务工作先进园区、2022年度全州招商引资工作考核一等奖。新引进签约项目35个，其中投资1亿元以上产业项目10个，新引进项目的数量、质量、规模跃上了新台阶。引进“三类500强”企业新投资项目4个。</w:t>
            </w:r>
          </w:p>
          <w:p>
            <w:pPr>
              <w:autoSpaceDN w:val="0"/>
              <w:spacing w:line="420" w:lineRule="exact"/>
              <w:jc w:val="left"/>
              <w:textAlignment w:val="center"/>
              <w:rPr>
                <w:rFonts w:eastAsia="仿宋_GB2312"/>
                <w:sz w:val="24"/>
              </w:rPr>
            </w:pPr>
            <w:r>
              <w:rPr>
                <w:rFonts w:eastAsia="仿宋_GB2312"/>
                <w:sz w:val="24"/>
              </w:rPr>
              <w:t>目标4：</w:t>
            </w:r>
            <w:r>
              <w:rPr>
                <w:rFonts w:hint="eastAsia" w:eastAsia="仿宋_GB2312" w:cs="仿宋_GB2312"/>
                <w:sz w:val="24"/>
              </w:rPr>
              <w:t>深入推进优化营商环境攻坚年行动，</w:t>
            </w:r>
            <w:r>
              <w:rPr>
                <w:rFonts w:eastAsia="仿宋_GB2312" w:cs="仿宋_GB2312"/>
                <w:sz w:val="24"/>
              </w:rPr>
              <w:t>连续3年荣获</w:t>
            </w:r>
            <w:r>
              <w:rPr>
                <w:rFonts w:hint="eastAsia" w:eastAsia="仿宋_GB2312" w:cs="仿宋_GB2312"/>
                <w:sz w:val="24"/>
              </w:rPr>
              <w:t>全州深化“放管服”改革优化营商环境工作综合考核一等奖，在2022年全省营商环境评价133个省级园区中排名第四</w:t>
            </w:r>
            <w:r>
              <w:rPr>
                <w:rFonts w:eastAsia="仿宋_GB2312"/>
                <w:sz w:val="24"/>
              </w:rPr>
              <w:t>。</w:t>
            </w:r>
          </w:p>
          <w:p>
            <w:pPr>
              <w:autoSpaceDN w:val="0"/>
              <w:spacing w:line="420" w:lineRule="exact"/>
              <w:jc w:val="left"/>
              <w:textAlignment w:val="center"/>
              <w:rPr>
                <w:rFonts w:eastAsia="仿宋_GB2312"/>
                <w:sz w:val="24"/>
              </w:rPr>
            </w:pPr>
            <w:r>
              <w:rPr>
                <w:rFonts w:eastAsia="仿宋_GB2312"/>
                <w:sz w:val="24"/>
              </w:rPr>
              <w:t>目标5：已按规定及时公开。</w:t>
            </w:r>
          </w:p>
          <w:p>
            <w:pPr>
              <w:autoSpaceDN w:val="0"/>
              <w:spacing w:line="420" w:lineRule="exact"/>
              <w:jc w:val="left"/>
              <w:textAlignment w:val="center"/>
              <w:rPr>
                <w:rFonts w:eastAsia="仿宋_GB2312"/>
                <w:sz w:val="24"/>
              </w:rPr>
            </w:pPr>
            <w:r>
              <w:rPr>
                <w:rFonts w:eastAsia="仿宋_GB2312"/>
                <w:sz w:val="24"/>
              </w:rPr>
              <w:t>目标6：总支出控制在预算范围内。</w:t>
            </w:r>
          </w:p>
          <w:p>
            <w:pPr>
              <w:autoSpaceDN w:val="0"/>
              <w:spacing w:line="420" w:lineRule="exact"/>
              <w:jc w:val="left"/>
              <w:textAlignment w:val="center"/>
              <w:rPr>
                <w:rFonts w:eastAsia="仿宋_GB2312" w:cs="仿宋_GB2312"/>
                <w:sz w:val="24"/>
              </w:rPr>
            </w:pPr>
            <w:r>
              <w:rPr>
                <w:rFonts w:eastAsia="仿宋_GB2312"/>
                <w:sz w:val="24"/>
              </w:rPr>
              <w:t>目标7：</w:t>
            </w:r>
            <w:r>
              <w:rPr>
                <w:rFonts w:hint="eastAsia" w:eastAsia="仿宋_GB2312" w:cs="仿宋_GB2312"/>
                <w:sz w:val="24"/>
              </w:rPr>
              <w:t>围绕减负、松绑，聚焦主责主业，统筹推进体制机制改革创新。州绩效办对高新区绩效实行单列考核、单独定等，实现了绩效考核差异化。坚持厘清政企边界，理顺管理架构，强化经营理念，加快剥离隐性债务，“国企改革提质增效”三年行动收官，吉投集团公司“集团化、市场化、专业化”改革成效初显，公司资产总额突破百亿元大关。</w:t>
            </w:r>
          </w:p>
          <w:p>
            <w:pPr>
              <w:autoSpaceDN w:val="0"/>
              <w:spacing w:line="420" w:lineRule="exact"/>
              <w:jc w:val="left"/>
              <w:textAlignment w:val="center"/>
              <w:rPr>
                <w:rFonts w:eastAsia="仿宋_GB2312" w:cs="仿宋_GB2312"/>
                <w:sz w:val="24"/>
              </w:rPr>
            </w:pPr>
            <w:r>
              <w:rPr>
                <w:rFonts w:eastAsia="仿宋_GB2312"/>
                <w:sz w:val="24"/>
              </w:rPr>
              <w:t>目标8：</w:t>
            </w:r>
            <w:r>
              <w:rPr>
                <w:rFonts w:hint="eastAsia" w:eastAsia="仿宋_GB2312" w:cs="仿宋_GB2312"/>
                <w:sz w:val="24"/>
              </w:rPr>
              <w:t>严格按照“疫情要防住、经济要稳住、发展要安全”要求，积极应对风险挑战。全面压紧压实疫情防控“四方责任”，高效、高质完成了州（亚）准定点救治医院建设。切实加强州委违规举债和虚假化债专项巡察反馈问题整改，偿还隐性债务1.34亿元，已整改问题17个，有力防范了债务和金融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601" w:type="dxa"/>
            <w:vMerge w:val="restart"/>
            <w:vAlign w:val="center"/>
          </w:tcPr>
          <w:p>
            <w:pPr>
              <w:autoSpaceDN w:val="0"/>
              <w:spacing w:line="320" w:lineRule="exact"/>
              <w:jc w:val="center"/>
              <w:textAlignment w:val="center"/>
              <w:rPr>
                <w:rFonts w:eastAsia="仿宋_GB2312" w:cs="仿宋_GB2312"/>
                <w:sz w:val="24"/>
              </w:rPr>
            </w:pPr>
          </w:p>
          <w:p>
            <w:pPr>
              <w:pStyle w:val="2"/>
              <w:rPr>
                <w:rFonts w:eastAsia="仿宋_GB2312" w:cs="仿宋_GB2312"/>
                <w:sz w:val="24"/>
              </w:rPr>
            </w:pPr>
          </w:p>
          <w:p>
            <w:pPr>
              <w:pStyle w:val="3"/>
              <w:rPr>
                <w:rFonts w:eastAsia="仿宋_GB2312" w:cs="仿宋_GB2312"/>
                <w:sz w:val="24"/>
              </w:rPr>
            </w:pPr>
          </w:p>
          <w:p>
            <w:pPr>
              <w:rPr>
                <w:rFonts w:eastAsia="仿宋_GB2312" w:cs="仿宋_GB2312"/>
                <w:sz w:val="24"/>
              </w:rPr>
            </w:pPr>
          </w:p>
          <w:p>
            <w:pPr>
              <w:pStyle w:val="2"/>
              <w:rPr>
                <w:rFonts w:eastAsia="仿宋_GB2312" w:cs="仿宋_GB2312"/>
                <w:sz w:val="24"/>
              </w:rPr>
            </w:pPr>
          </w:p>
          <w:p>
            <w:pPr>
              <w:pStyle w:val="3"/>
              <w:rPr>
                <w:rFonts w:eastAsia="仿宋_GB2312" w:cs="仿宋_GB2312"/>
                <w:sz w:val="24"/>
              </w:rPr>
            </w:pPr>
          </w:p>
          <w:p>
            <w:pPr>
              <w:rPr>
                <w:rFonts w:eastAsia="仿宋_GB2312" w:cs="仿宋_GB2312"/>
                <w:sz w:val="24"/>
              </w:rPr>
            </w:pPr>
          </w:p>
          <w:p>
            <w:pPr>
              <w:pStyle w:val="2"/>
              <w:rPr>
                <w:rFonts w:eastAsia="仿宋_GB2312" w:cs="仿宋_GB2312"/>
                <w:sz w:val="24"/>
              </w:rPr>
            </w:pPr>
          </w:p>
          <w:p>
            <w:pPr>
              <w:pStyle w:val="3"/>
              <w:rPr>
                <w:rFonts w:eastAsia="仿宋_GB2312" w:cs="仿宋_GB2312"/>
                <w:sz w:val="24"/>
              </w:rPr>
            </w:pPr>
          </w:p>
          <w:p>
            <w:pPr>
              <w:rPr>
                <w:rFonts w:eastAsia="仿宋_GB2312" w:cs="仿宋_GB2312"/>
                <w:sz w:val="24"/>
              </w:rPr>
            </w:pPr>
          </w:p>
          <w:p>
            <w:pPr>
              <w:pStyle w:val="2"/>
              <w:rPr>
                <w:rFonts w:eastAsia="仿宋_GB2312" w:cs="仿宋_GB2312"/>
                <w:sz w:val="24"/>
              </w:rPr>
            </w:pPr>
          </w:p>
          <w:p>
            <w:pPr>
              <w:pStyle w:val="3"/>
              <w:rPr>
                <w:rFonts w:eastAsia="仿宋_GB2312" w:cs="仿宋_GB2312"/>
                <w:sz w:val="24"/>
              </w:rPr>
            </w:pPr>
          </w:p>
          <w:p/>
          <w:p>
            <w:pPr>
              <w:autoSpaceDN w:val="0"/>
              <w:spacing w:line="320" w:lineRule="exact"/>
              <w:jc w:val="center"/>
              <w:textAlignment w:val="center"/>
              <w:rPr>
                <w:rFonts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eastAsia="仿宋_GB2312" w:cs="仿宋_GB2312"/>
                <w:sz w:val="24"/>
              </w:rPr>
              <w:t>绩效定量目标及实施计划完成情况</w:t>
            </w:r>
          </w:p>
          <w:p>
            <w:pPr>
              <w:autoSpaceDN w:val="0"/>
              <w:spacing w:line="320" w:lineRule="exact"/>
              <w:jc w:val="center"/>
              <w:textAlignment w:val="center"/>
              <w:rPr>
                <w:rFonts w:eastAsia="仿宋_GB2312" w:cs="仿宋_GB2312"/>
                <w:sz w:val="24"/>
              </w:rPr>
            </w:pPr>
          </w:p>
          <w:p>
            <w:pPr>
              <w:autoSpaceDN w:val="0"/>
              <w:spacing w:line="320" w:lineRule="exact"/>
              <w:jc w:val="center"/>
              <w:textAlignment w:val="center"/>
              <w:rPr>
                <w:rFonts w:eastAsia="仿宋_GB2312" w:cs="仿宋_GB2312"/>
                <w:sz w:val="24"/>
              </w:rPr>
            </w:pPr>
          </w:p>
          <w:p>
            <w:pPr>
              <w:autoSpaceDN w:val="0"/>
              <w:spacing w:line="320" w:lineRule="exact"/>
              <w:jc w:val="center"/>
              <w:textAlignment w:val="center"/>
              <w:rPr>
                <w:rFonts w:eastAsia="仿宋_GB2312" w:cs="仿宋_GB2312"/>
                <w:sz w:val="24"/>
              </w:rPr>
            </w:pPr>
          </w:p>
          <w:p>
            <w:pPr>
              <w:pStyle w:val="6"/>
              <w:rPr>
                <w:rFonts w:eastAsia="仿宋_GB2312" w:cs="仿宋_GB2312"/>
                <w:sz w:val="24"/>
              </w:rPr>
            </w:pPr>
          </w:p>
          <w:p>
            <w:pPr>
              <w:pStyle w:val="7"/>
              <w:rPr>
                <w:rFonts w:eastAsia="仿宋_GB2312" w:cs="仿宋_GB2312"/>
                <w:sz w:val="24"/>
              </w:rPr>
            </w:pPr>
          </w:p>
          <w:p>
            <w:pPr>
              <w:rPr>
                <w:rFonts w:eastAsia="仿宋_GB2312" w:cs="仿宋_GB2312"/>
                <w:sz w:val="24"/>
              </w:rPr>
            </w:pPr>
          </w:p>
          <w:p>
            <w:pPr>
              <w:pStyle w:val="6"/>
              <w:rPr>
                <w:rFonts w:eastAsia="仿宋_GB2312" w:cs="仿宋_GB2312"/>
                <w:sz w:val="24"/>
              </w:rPr>
            </w:pPr>
          </w:p>
          <w:p>
            <w:pPr>
              <w:pStyle w:val="7"/>
            </w:pPr>
          </w:p>
          <w:p>
            <w:pPr>
              <w:autoSpaceDN w:val="0"/>
              <w:spacing w:line="320" w:lineRule="exact"/>
              <w:jc w:val="center"/>
              <w:textAlignment w:val="center"/>
              <w:rPr>
                <w:rFonts w:eastAsia="仿宋_GB2312" w:cs="仿宋_GB2312"/>
                <w:sz w:val="24"/>
              </w:rPr>
            </w:pPr>
          </w:p>
          <w:p/>
          <w:p>
            <w:pPr>
              <w:autoSpaceDN w:val="0"/>
              <w:spacing w:line="320" w:lineRule="exact"/>
              <w:jc w:val="center"/>
              <w:textAlignment w:val="center"/>
              <w:rPr>
                <w:rFonts w:eastAsia="仿宋_GB2312" w:cs="仿宋_GB2312"/>
                <w:sz w:val="24"/>
              </w:rPr>
            </w:pPr>
          </w:p>
        </w:tc>
        <w:tc>
          <w:tcPr>
            <w:tcW w:w="1689"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评价内容</w:t>
            </w:r>
          </w:p>
        </w:tc>
        <w:tc>
          <w:tcPr>
            <w:tcW w:w="1911" w:type="dxa"/>
            <w:gridSpan w:val="5"/>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绩效目标</w:t>
            </w:r>
          </w:p>
        </w:tc>
        <w:tc>
          <w:tcPr>
            <w:tcW w:w="3122"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601" w:type="dxa"/>
            <w:vMerge w:val="continue"/>
            <w:vAlign w:val="center"/>
          </w:tcPr>
          <w:p>
            <w:pPr>
              <w:spacing w:line="320" w:lineRule="exact"/>
              <w:rPr>
                <w:rFonts w:eastAsia="仿宋_GB2312" w:cs="仿宋_GB2312"/>
                <w:sz w:val="24"/>
              </w:rPr>
            </w:pPr>
          </w:p>
        </w:tc>
        <w:tc>
          <w:tcPr>
            <w:tcW w:w="833" w:type="dxa"/>
            <w:vMerge w:val="restart"/>
            <w:vAlign w:val="center"/>
          </w:tcPr>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产出目标</w:t>
            </w:r>
          </w:p>
          <w:p>
            <w:pPr>
              <w:autoSpaceDN w:val="0"/>
              <w:spacing w:line="320" w:lineRule="exact"/>
              <w:jc w:val="left"/>
              <w:textAlignment w:val="center"/>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p>
            <w:pPr>
              <w:pStyle w:val="2"/>
              <w:rPr>
                <w:rFonts w:eastAsia="仿宋_GB2312" w:cs="仿宋_GB2312"/>
                <w:kern w:val="2"/>
                <w:sz w:val="24"/>
                <w:szCs w:val="24"/>
              </w:rPr>
            </w:pPr>
          </w:p>
        </w:tc>
        <w:tc>
          <w:tcPr>
            <w:tcW w:w="856" w:type="dxa"/>
            <w:gridSpan w:val="4"/>
            <w:vMerge w:val="restart"/>
            <w:vAlign w:val="center"/>
          </w:tcPr>
          <w:p>
            <w:pPr>
              <w:autoSpaceDN w:val="0"/>
              <w:spacing w:line="320" w:lineRule="exact"/>
              <w:jc w:val="left"/>
              <w:textAlignment w:val="center"/>
              <w:rPr>
                <w:rFonts w:eastAsia="仿宋_GB2312" w:cs="仿宋_GB2312"/>
                <w:sz w:val="24"/>
              </w:rPr>
            </w:pPr>
          </w:p>
          <w:p>
            <w:pPr>
              <w:pStyle w:val="2"/>
              <w:rPr>
                <w:rFonts w:eastAsia="仿宋_GB2312" w:cs="仿宋_GB2312"/>
                <w:sz w:val="24"/>
              </w:rPr>
            </w:pPr>
          </w:p>
          <w:p>
            <w:pPr>
              <w:pStyle w:val="3"/>
              <w:rPr>
                <w:rFonts w:eastAsia="仿宋_GB2312" w:cs="仿宋_GB2312"/>
                <w:sz w:val="24"/>
              </w:rPr>
            </w:pPr>
          </w:p>
          <w:p>
            <w:pPr>
              <w:rPr>
                <w:rFonts w:eastAsia="仿宋_GB2312" w:cs="仿宋_GB2312"/>
                <w:sz w:val="24"/>
              </w:rPr>
            </w:pPr>
          </w:p>
          <w:p>
            <w:pPr>
              <w:pStyle w:val="2"/>
              <w:rPr>
                <w:rFonts w:eastAsia="仿宋_GB2312" w:cs="仿宋_GB2312"/>
                <w:sz w:val="24"/>
              </w:rPr>
            </w:pPr>
          </w:p>
          <w:p>
            <w:pPr>
              <w:pStyle w:val="3"/>
              <w:rPr>
                <w:rFonts w:eastAsia="仿宋_GB2312" w:cs="仿宋_GB2312"/>
                <w:sz w:val="24"/>
              </w:rPr>
            </w:pPr>
          </w:p>
          <w:p/>
          <w:p>
            <w:pPr>
              <w:autoSpaceDN w:val="0"/>
              <w:spacing w:line="320" w:lineRule="exact"/>
              <w:jc w:val="left"/>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left"/>
              <w:textAlignment w:val="center"/>
              <w:rPr>
                <w:rFonts w:eastAsia="仿宋_GB2312" w:cs="仿宋_GB2312"/>
                <w:sz w:val="24"/>
              </w:rPr>
            </w:pPr>
          </w:p>
          <w:p>
            <w:pPr>
              <w:pStyle w:val="6"/>
              <w:rPr>
                <w:rFonts w:eastAsia="仿宋_GB2312" w:cs="仿宋_GB2312"/>
                <w:sz w:val="24"/>
              </w:rPr>
            </w:pPr>
          </w:p>
          <w:p>
            <w:pPr>
              <w:pStyle w:val="7"/>
              <w:rPr>
                <w:rFonts w:eastAsia="仿宋_GB2312" w:cs="仿宋_GB2312"/>
                <w:sz w:val="24"/>
              </w:rPr>
            </w:pPr>
          </w:p>
          <w:p>
            <w:pPr>
              <w:rPr>
                <w:rFonts w:eastAsia="仿宋_GB2312" w:cs="仿宋_GB2312"/>
                <w:sz w:val="24"/>
              </w:rPr>
            </w:pPr>
          </w:p>
          <w:p>
            <w:pPr>
              <w:pStyle w:val="6"/>
              <w:rPr>
                <w:rFonts w:eastAsia="仿宋_GB2312" w:cs="仿宋_GB2312"/>
                <w:sz w:val="24"/>
              </w:rPr>
            </w:pPr>
          </w:p>
          <w:p>
            <w:pPr>
              <w:pStyle w:val="7"/>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指标1：重点工作完成率</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100%</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202</w:t>
            </w:r>
            <w:r>
              <w:rPr>
                <w:rFonts w:hint="eastAsia" w:eastAsia="仿宋_GB2312"/>
                <w:sz w:val="24"/>
              </w:rPr>
              <w:t>2</w:t>
            </w:r>
            <w:r>
              <w:rPr>
                <w:rFonts w:eastAsia="仿宋_GB2312"/>
                <w:sz w:val="24"/>
              </w:rPr>
              <w:t>年度本部门绩效考核评分结果，等级为优。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指标2：预算完成率</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100%</w:t>
            </w:r>
          </w:p>
        </w:tc>
        <w:tc>
          <w:tcPr>
            <w:tcW w:w="3122" w:type="dxa"/>
            <w:gridSpan w:val="6"/>
            <w:vAlign w:val="center"/>
          </w:tcPr>
          <w:p>
            <w:pPr>
              <w:autoSpaceDN w:val="0"/>
              <w:spacing w:line="320" w:lineRule="exact"/>
              <w:jc w:val="center"/>
              <w:textAlignment w:val="center"/>
              <w:rPr>
                <w:rFonts w:eastAsia="仿宋_GB2312"/>
                <w:sz w:val="24"/>
              </w:rPr>
            </w:pPr>
            <w:r>
              <w:rPr>
                <w:rFonts w:hint="eastAsia" w:eastAsia="仿宋_GB2312"/>
                <w:sz w:val="24"/>
              </w:rPr>
              <w:t>93.39</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指标3：政府采购执行率</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100%</w:t>
            </w:r>
          </w:p>
        </w:tc>
        <w:tc>
          <w:tcPr>
            <w:tcW w:w="3122" w:type="dxa"/>
            <w:gridSpan w:val="6"/>
            <w:vAlign w:val="center"/>
          </w:tcPr>
          <w:p>
            <w:pPr>
              <w:autoSpaceDN w:val="0"/>
              <w:spacing w:line="320" w:lineRule="exact"/>
              <w:jc w:val="center"/>
              <w:textAlignment w:val="center"/>
              <w:rPr>
                <w:rFonts w:eastAsia="仿宋_GB2312"/>
                <w:sz w:val="24"/>
              </w:rPr>
            </w:pPr>
            <w:r>
              <w:rPr>
                <w:rFonts w:hint="eastAsia" w:eastAsia="仿宋_GB2312"/>
                <w:sz w:val="24"/>
              </w:rPr>
              <w:t>75</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指标4：高新企业认定</w:t>
            </w:r>
          </w:p>
        </w:tc>
        <w:tc>
          <w:tcPr>
            <w:tcW w:w="2600" w:type="dxa"/>
            <w:gridSpan w:val="5"/>
            <w:tcBorders>
              <w:lef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争取高新企业认定</w:t>
            </w:r>
            <w:r>
              <w:rPr>
                <w:rFonts w:hint="eastAsia" w:eastAsia="仿宋_GB2312"/>
                <w:sz w:val="24"/>
              </w:rPr>
              <w:t>15</w:t>
            </w:r>
            <w:r>
              <w:rPr>
                <w:rFonts w:eastAsia="仿宋_GB2312"/>
                <w:sz w:val="24"/>
              </w:rPr>
              <w:t>家以上。</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高新技术企业第一批已认定</w:t>
            </w:r>
            <w:r>
              <w:rPr>
                <w:rFonts w:hint="eastAsia" w:eastAsia="仿宋_GB2312"/>
                <w:sz w:val="24"/>
              </w:rPr>
              <w:t>13</w:t>
            </w:r>
            <w:r>
              <w:rPr>
                <w:rFonts w:eastAsia="仿宋_GB2312"/>
                <w:sz w:val="24"/>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指标5：招商引资</w:t>
            </w:r>
          </w:p>
        </w:tc>
        <w:tc>
          <w:tcPr>
            <w:tcW w:w="2600" w:type="dxa"/>
            <w:gridSpan w:val="5"/>
            <w:tcBorders>
              <w:lef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力争引进“三类500强”企业新投资项目</w:t>
            </w:r>
            <w:r>
              <w:rPr>
                <w:rFonts w:hint="eastAsia" w:eastAsia="仿宋_GB2312"/>
                <w:sz w:val="24"/>
              </w:rPr>
              <w:t>1</w:t>
            </w:r>
            <w:r>
              <w:rPr>
                <w:rFonts w:eastAsia="仿宋_GB2312"/>
                <w:sz w:val="24"/>
              </w:rPr>
              <w:t>个。</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全年引进“三类500强”企业新投资项目</w:t>
            </w:r>
            <w:r>
              <w:rPr>
                <w:rFonts w:hint="eastAsia" w:eastAsia="仿宋_GB2312"/>
                <w:sz w:val="24"/>
              </w:rPr>
              <w:t>4</w:t>
            </w:r>
            <w:r>
              <w:rPr>
                <w:rFonts w:eastAsia="仿宋_GB2312"/>
                <w:sz w:val="24"/>
              </w:rPr>
              <w:t>个，完成年任务</w:t>
            </w:r>
            <w:r>
              <w:rPr>
                <w:rFonts w:hint="eastAsia" w:eastAsia="仿宋_GB2312"/>
                <w:sz w:val="24"/>
              </w:rPr>
              <w:t>400</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2"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指标6：创业就业</w:t>
            </w:r>
          </w:p>
        </w:tc>
        <w:tc>
          <w:tcPr>
            <w:tcW w:w="2600" w:type="dxa"/>
            <w:gridSpan w:val="5"/>
            <w:tcBorders>
              <w:lef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力保城镇新增就业</w:t>
            </w:r>
            <w:r>
              <w:rPr>
                <w:rFonts w:hint="eastAsia" w:eastAsia="仿宋_GB2312"/>
                <w:sz w:val="24"/>
              </w:rPr>
              <w:t>450</w:t>
            </w:r>
            <w:r>
              <w:rPr>
                <w:rFonts w:eastAsia="仿宋_GB2312"/>
                <w:sz w:val="24"/>
              </w:rPr>
              <w:t>人，失业人员再就业1</w:t>
            </w:r>
            <w:r>
              <w:rPr>
                <w:rFonts w:hint="eastAsia" w:eastAsia="仿宋_GB2312"/>
                <w:sz w:val="24"/>
              </w:rPr>
              <w:t>70</w:t>
            </w:r>
            <w:r>
              <w:rPr>
                <w:rFonts w:eastAsia="仿宋_GB2312"/>
                <w:sz w:val="24"/>
              </w:rPr>
              <w:t>人。</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2021年城镇新增就业</w:t>
            </w:r>
            <w:r>
              <w:rPr>
                <w:rFonts w:hint="eastAsia" w:eastAsia="仿宋_GB2312"/>
                <w:sz w:val="24"/>
              </w:rPr>
              <w:t>477</w:t>
            </w:r>
            <w:r>
              <w:rPr>
                <w:rFonts w:eastAsia="仿宋_GB2312"/>
                <w:sz w:val="24"/>
              </w:rPr>
              <w:t>人，失业人员再就业</w:t>
            </w:r>
            <w:r>
              <w:rPr>
                <w:rFonts w:hint="eastAsia" w:eastAsia="仿宋_GB2312"/>
                <w:sz w:val="24"/>
              </w:rPr>
              <w:t>180</w:t>
            </w:r>
            <w:r>
              <w:rPr>
                <w:rFonts w:eastAsia="仿宋_GB2312"/>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6"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280" w:lineRule="exact"/>
              <w:jc w:val="left"/>
              <w:textAlignment w:val="center"/>
              <w:rPr>
                <w:rFonts w:eastAsia="仿宋_GB2312"/>
                <w:sz w:val="24"/>
              </w:rPr>
            </w:pPr>
            <w:r>
              <w:rPr>
                <w:rFonts w:eastAsia="仿宋_GB2312"/>
                <w:sz w:val="24"/>
              </w:rPr>
              <w:t>指标7：在职人员控制率</w:t>
            </w:r>
          </w:p>
        </w:tc>
        <w:tc>
          <w:tcPr>
            <w:tcW w:w="2600" w:type="dxa"/>
            <w:gridSpan w:val="5"/>
            <w:tcBorders>
              <w:left w:val="single" w:color="auto" w:sz="4" w:space="0"/>
            </w:tcBorders>
            <w:vAlign w:val="center"/>
          </w:tcPr>
          <w:p>
            <w:pPr>
              <w:autoSpaceDN w:val="0"/>
              <w:spacing w:line="280" w:lineRule="exact"/>
              <w:jc w:val="center"/>
              <w:textAlignment w:val="center"/>
              <w:rPr>
                <w:rFonts w:eastAsia="仿宋_GB2312"/>
                <w:sz w:val="24"/>
              </w:rPr>
            </w:pPr>
            <w:r>
              <w:rPr>
                <w:rFonts w:eastAsia="仿宋_GB2312"/>
                <w:sz w:val="24"/>
              </w:rPr>
              <w:t>≦100%</w:t>
            </w:r>
          </w:p>
        </w:tc>
        <w:tc>
          <w:tcPr>
            <w:tcW w:w="3122" w:type="dxa"/>
            <w:gridSpan w:val="6"/>
            <w:vAlign w:val="center"/>
          </w:tcPr>
          <w:p>
            <w:pPr>
              <w:autoSpaceDN w:val="0"/>
              <w:spacing w:line="280" w:lineRule="exact"/>
              <w:jc w:val="center"/>
              <w:textAlignment w:val="center"/>
              <w:rPr>
                <w:rFonts w:eastAsia="仿宋_GB2312"/>
                <w:sz w:val="24"/>
              </w:rPr>
            </w:pPr>
            <w:r>
              <w:rPr>
                <w:rFonts w:hint="eastAsia" w:eastAsia="仿宋_GB2312"/>
                <w:sz w:val="24"/>
              </w:rPr>
              <w:t>85.80</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3"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280" w:lineRule="exact"/>
              <w:jc w:val="left"/>
              <w:textAlignment w:val="center"/>
              <w:rPr>
                <w:rFonts w:eastAsia="仿宋_GB2312"/>
                <w:sz w:val="24"/>
              </w:rPr>
            </w:pPr>
            <w:r>
              <w:rPr>
                <w:rFonts w:eastAsia="仿宋_GB2312"/>
                <w:sz w:val="24"/>
              </w:rPr>
              <w:t>指标8： “三公经费”控制率</w:t>
            </w:r>
          </w:p>
        </w:tc>
        <w:tc>
          <w:tcPr>
            <w:tcW w:w="2600" w:type="dxa"/>
            <w:gridSpan w:val="5"/>
            <w:tcBorders>
              <w:left w:val="single" w:color="auto" w:sz="4" w:space="0"/>
            </w:tcBorders>
            <w:vAlign w:val="center"/>
          </w:tcPr>
          <w:p>
            <w:pPr>
              <w:autoSpaceDN w:val="0"/>
              <w:spacing w:line="280" w:lineRule="exact"/>
              <w:jc w:val="center"/>
              <w:textAlignment w:val="center"/>
              <w:rPr>
                <w:rFonts w:eastAsia="仿宋_GB2312"/>
                <w:sz w:val="24"/>
              </w:rPr>
            </w:pPr>
            <w:r>
              <w:rPr>
                <w:rFonts w:eastAsia="仿宋_GB2312"/>
                <w:sz w:val="24"/>
              </w:rPr>
              <w:t>≦100%</w:t>
            </w:r>
          </w:p>
        </w:tc>
        <w:tc>
          <w:tcPr>
            <w:tcW w:w="3122" w:type="dxa"/>
            <w:gridSpan w:val="6"/>
            <w:vAlign w:val="center"/>
          </w:tcPr>
          <w:p>
            <w:pPr>
              <w:autoSpaceDN w:val="0"/>
              <w:spacing w:line="280" w:lineRule="exact"/>
              <w:jc w:val="center"/>
              <w:textAlignment w:val="center"/>
              <w:rPr>
                <w:rFonts w:eastAsia="仿宋_GB2312"/>
                <w:sz w:val="24"/>
              </w:rPr>
            </w:pPr>
            <w:r>
              <w:rPr>
                <w:rFonts w:hint="eastAsia" w:eastAsia="仿宋_GB2312"/>
                <w:sz w:val="24"/>
              </w:rPr>
              <w:t>99.61</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1"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280" w:lineRule="exact"/>
              <w:jc w:val="left"/>
              <w:textAlignment w:val="center"/>
              <w:rPr>
                <w:rFonts w:eastAsia="仿宋_GB2312"/>
                <w:sz w:val="24"/>
              </w:rPr>
            </w:pPr>
            <w:r>
              <w:rPr>
                <w:rFonts w:eastAsia="仿宋_GB2312"/>
                <w:sz w:val="24"/>
              </w:rPr>
              <w:t>指标9：公用经费控制率</w:t>
            </w:r>
          </w:p>
        </w:tc>
        <w:tc>
          <w:tcPr>
            <w:tcW w:w="2600" w:type="dxa"/>
            <w:gridSpan w:val="5"/>
            <w:tcBorders>
              <w:left w:val="single" w:color="auto" w:sz="4" w:space="0"/>
            </w:tcBorders>
            <w:vAlign w:val="center"/>
          </w:tcPr>
          <w:p>
            <w:pPr>
              <w:autoSpaceDN w:val="0"/>
              <w:spacing w:line="280" w:lineRule="exact"/>
              <w:jc w:val="center"/>
              <w:textAlignment w:val="center"/>
              <w:rPr>
                <w:rFonts w:eastAsia="仿宋_GB2312"/>
                <w:sz w:val="24"/>
              </w:rPr>
            </w:pPr>
            <w:r>
              <w:rPr>
                <w:rFonts w:eastAsia="仿宋_GB2312"/>
                <w:sz w:val="24"/>
              </w:rPr>
              <w:t>≦100%</w:t>
            </w:r>
          </w:p>
        </w:tc>
        <w:tc>
          <w:tcPr>
            <w:tcW w:w="3122" w:type="dxa"/>
            <w:gridSpan w:val="6"/>
            <w:vAlign w:val="center"/>
          </w:tcPr>
          <w:p>
            <w:pPr>
              <w:autoSpaceDN w:val="0"/>
              <w:spacing w:line="280" w:lineRule="exact"/>
              <w:jc w:val="center"/>
              <w:textAlignment w:val="center"/>
              <w:rPr>
                <w:rFonts w:eastAsia="仿宋_GB2312"/>
                <w:sz w:val="24"/>
              </w:rPr>
            </w:pPr>
            <w:r>
              <w:rPr>
                <w:rFonts w:hint="eastAsia" w:eastAsia="仿宋_GB2312"/>
                <w:sz w:val="24"/>
              </w:rPr>
              <w:t>70.01</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1"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280" w:lineRule="exact"/>
              <w:jc w:val="left"/>
              <w:textAlignment w:val="center"/>
              <w:rPr>
                <w:rFonts w:eastAsia="仿宋_GB2312"/>
                <w:sz w:val="24"/>
              </w:rPr>
            </w:pPr>
            <w:r>
              <w:rPr>
                <w:rFonts w:hint="eastAsia" w:eastAsia="仿宋_GB2312"/>
                <w:sz w:val="24"/>
              </w:rPr>
              <w:t>指标10：全州营商环境排名</w:t>
            </w:r>
          </w:p>
        </w:tc>
        <w:tc>
          <w:tcPr>
            <w:tcW w:w="2600" w:type="dxa"/>
            <w:gridSpan w:val="5"/>
            <w:tcBorders>
              <w:left w:val="single" w:color="auto" w:sz="4" w:space="0"/>
            </w:tcBorders>
            <w:vAlign w:val="center"/>
          </w:tcPr>
          <w:p>
            <w:pPr>
              <w:autoSpaceDN w:val="0"/>
              <w:spacing w:line="280" w:lineRule="exact"/>
              <w:jc w:val="center"/>
              <w:textAlignment w:val="center"/>
              <w:rPr>
                <w:rFonts w:eastAsia="仿宋_GB2312"/>
                <w:sz w:val="24"/>
              </w:rPr>
            </w:pPr>
            <w:r>
              <w:rPr>
                <w:rFonts w:hint="eastAsia" w:eastAsia="仿宋_GB2312"/>
                <w:sz w:val="24"/>
              </w:rPr>
              <w:t>“放管服”优化营商环境排名进入前三</w:t>
            </w:r>
          </w:p>
        </w:tc>
        <w:tc>
          <w:tcPr>
            <w:tcW w:w="3122" w:type="dxa"/>
            <w:gridSpan w:val="6"/>
            <w:vAlign w:val="center"/>
          </w:tcPr>
          <w:p>
            <w:pPr>
              <w:autoSpaceDN w:val="0"/>
              <w:spacing w:line="280" w:lineRule="exact"/>
              <w:jc w:val="center"/>
              <w:textAlignment w:val="center"/>
              <w:rPr>
                <w:rFonts w:eastAsia="仿宋_GB2312"/>
                <w:sz w:val="24"/>
              </w:rPr>
            </w:pPr>
            <w:r>
              <w:rPr>
                <w:rFonts w:hint="eastAsia" w:eastAsia="仿宋_GB2312"/>
                <w:sz w:val="24"/>
              </w:rPr>
              <w:t>荣获“放管服”优化营商环境年度考核第一名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1"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280" w:lineRule="exact"/>
              <w:jc w:val="left"/>
              <w:textAlignment w:val="center"/>
              <w:rPr>
                <w:rFonts w:eastAsia="仿宋_GB2312"/>
                <w:sz w:val="24"/>
              </w:rPr>
            </w:pPr>
            <w:r>
              <w:rPr>
                <w:rFonts w:hint="eastAsia" w:eastAsia="仿宋_GB2312"/>
                <w:sz w:val="24"/>
              </w:rPr>
              <w:t>指标11：部门预决算信息公开</w:t>
            </w:r>
          </w:p>
        </w:tc>
        <w:tc>
          <w:tcPr>
            <w:tcW w:w="2600" w:type="dxa"/>
            <w:gridSpan w:val="5"/>
            <w:tcBorders>
              <w:left w:val="single" w:color="auto" w:sz="4" w:space="0"/>
            </w:tcBorders>
            <w:vAlign w:val="center"/>
          </w:tcPr>
          <w:p>
            <w:pPr>
              <w:autoSpaceDN w:val="0"/>
              <w:spacing w:line="280" w:lineRule="exact"/>
              <w:jc w:val="center"/>
              <w:textAlignment w:val="center"/>
              <w:rPr>
                <w:rFonts w:eastAsia="仿宋_GB2312"/>
                <w:sz w:val="24"/>
              </w:rPr>
            </w:pPr>
            <w:r>
              <w:rPr>
                <w:rFonts w:hint="eastAsia" w:eastAsia="仿宋_GB2312"/>
                <w:sz w:val="24"/>
              </w:rPr>
              <w:t>按规定及时公开</w:t>
            </w:r>
          </w:p>
        </w:tc>
        <w:tc>
          <w:tcPr>
            <w:tcW w:w="3122" w:type="dxa"/>
            <w:gridSpan w:val="6"/>
            <w:vAlign w:val="center"/>
          </w:tcPr>
          <w:p>
            <w:pPr>
              <w:autoSpaceDN w:val="0"/>
              <w:spacing w:line="280" w:lineRule="exact"/>
              <w:jc w:val="center"/>
              <w:textAlignment w:val="center"/>
              <w:rPr>
                <w:rFonts w:eastAsia="仿宋_GB2312"/>
                <w:sz w:val="24"/>
              </w:rPr>
            </w:pPr>
            <w:r>
              <w:rPr>
                <w:rFonts w:hint="eastAsia" w:eastAsia="仿宋_GB2312"/>
                <w:sz w:val="24"/>
              </w:rPr>
              <w:t>已按规定及时公开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601" w:type="dxa"/>
            <w:vMerge w:val="continue"/>
            <w:vAlign w:val="center"/>
          </w:tcPr>
          <w:p>
            <w:pPr>
              <w:spacing w:line="320" w:lineRule="exact"/>
              <w:rPr>
                <w:rFonts w:eastAsia="仿宋_GB2312" w:cs="仿宋_GB2312"/>
                <w:sz w:val="24"/>
              </w:rPr>
            </w:pPr>
          </w:p>
        </w:tc>
        <w:tc>
          <w:tcPr>
            <w:tcW w:w="833"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eastAsia="仿宋_GB2312" w:cs="仿宋_GB2312"/>
                <w:sz w:val="24"/>
              </w:rPr>
            </w:pPr>
            <w:r>
              <w:rPr>
                <w:rFonts w:hint="eastAsia" w:eastAsia="仿宋_GB2312" w:cs="仿宋_GB2312"/>
                <w:sz w:val="24"/>
              </w:rPr>
              <w:t>（预期实现的效益）</w:t>
            </w:r>
          </w:p>
        </w:tc>
        <w:tc>
          <w:tcPr>
            <w:tcW w:w="856"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社会、经济、生态效益</w:t>
            </w: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指标1：生产总值（GDP)</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同比增长</w:t>
            </w:r>
            <w:r>
              <w:rPr>
                <w:rFonts w:hint="eastAsia" w:eastAsia="仿宋_GB2312"/>
                <w:sz w:val="24"/>
              </w:rPr>
              <w:t>8</w:t>
            </w:r>
            <w:r>
              <w:rPr>
                <w:rFonts w:eastAsia="仿宋_GB2312"/>
                <w:sz w:val="24"/>
              </w:rPr>
              <w:t>%</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202</w:t>
            </w:r>
            <w:r>
              <w:rPr>
                <w:rFonts w:hint="eastAsia" w:eastAsia="仿宋_GB2312"/>
                <w:sz w:val="24"/>
              </w:rPr>
              <w:t>2</w:t>
            </w:r>
            <w:r>
              <w:rPr>
                <w:rFonts w:eastAsia="仿宋_GB2312"/>
                <w:sz w:val="24"/>
              </w:rPr>
              <w:t>年实现GDP</w:t>
            </w:r>
            <w:r>
              <w:rPr>
                <w:rFonts w:hint="eastAsia" w:eastAsia="仿宋_GB2312"/>
                <w:sz w:val="24"/>
              </w:rPr>
              <w:t>84.6</w:t>
            </w:r>
            <w:r>
              <w:rPr>
                <w:rFonts w:eastAsia="仿宋_GB2312"/>
                <w:sz w:val="24"/>
              </w:rPr>
              <w:t>亿元，同比增长</w:t>
            </w:r>
            <w:r>
              <w:rPr>
                <w:rFonts w:hint="eastAsia" w:eastAsia="仿宋_GB2312"/>
                <w:sz w:val="24"/>
              </w:rPr>
              <w:t>4.5</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8"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指标2：固定资产投资</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同比增长</w:t>
            </w:r>
            <w:r>
              <w:rPr>
                <w:rFonts w:hint="eastAsia" w:eastAsia="仿宋_GB2312"/>
                <w:sz w:val="24"/>
              </w:rPr>
              <w:t>8</w:t>
            </w:r>
            <w:r>
              <w:rPr>
                <w:rFonts w:eastAsia="仿宋_GB2312"/>
                <w:sz w:val="24"/>
              </w:rPr>
              <w:t>%</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全年完成固定资产投资</w:t>
            </w:r>
            <w:r>
              <w:rPr>
                <w:rFonts w:hint="eastAsia" w:eastAsia="仿宋_GB2312"/>
                <w:sz w:val="24"/>
              </w:rPr>
              <w:t>54.5</w:t>
            </w:r>
            <w:r>
              <w:rPr>
                <w:rFonts w:eastAsia="仿宋_GB2312"/>
                <w:sz w:val="24"/>
              </w:rPr>
              <w:t>亿元，同比增长</w:t>
            </w:r>
            <w:r>
              <w:rPr>
                <w:rFonts w:hint="eastAsia" w:eastAsia="仿宋_GB2312"/>
                <w:sz w:val="24"/>
              </w:rPr>
              <w:t>1.8</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4"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指标3：规模工业增加值</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同比增长</w:t>
            </w:r>
            <w:r>
              <w:rPr>
                <w:rFonts w:hint="eastAsia" w:eastAsia="仿宋_GB2312"/>
                <w:sz w:val="24"/>
              </w:rPr>
              <w:t>8</w:t>
            </w:r>
            <w:r>
              <w:rPr>
                <w:rFonts w:eastAsia="仿宋_GB2312"/>
                <w:sz w:val="24"/>
              </w:rPr>
              <w:t>%</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202</w:t>
            </w:r>
            <w:r>
              <w:rPr>
                <w:rFonts w:hint="eastAsia" w:eastAsia="仿宋_GB2312"/>
                <w:sz w:val="24"/>
              </w:rPr>
              <w:t>2</w:t>
            </w:r>
            <w:r>
              <w:rPr>
                <w:rFonts w:eastAsia="仿宋_GB2312"/>
                <w:sz w:val="24"/>
              </w:rPr>
              <w:t>年完成规模工业增加值同比增长</w:t>
            </w:r>
            <w:r>
              <w:rPr>
                <w:rFonts w:hint="eastAsia" w:eastAsia="仿宋_GB2312"/>
                <w:sz w:val="24"/>
              </w:rPr>
              <w:t>8.2</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1"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指标4：财政总收入</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同比增长</w:t>
            </w:r>
            <w:r>
              <w:rPr>
                <w:rFonts w:hint="eastAsia" w:eastAsia="仿宋_GB2312"/>
                <w:sz w:val="24"/>
              </w:rPr>
              <w:t>8</w:t>
            </w:r>
            <w:r>
              <w:rPr>
                <w:rFonts w:eastAsia="仿宋_GB2312"/>
                <w:sz w:val="24"/>
              </w:rPr>
              <w:t>%</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实现财政总收入</w:t>
            </w:r>
            <w:r>
              <w:rPr>
                <w:rFonts w:hint="eastAsia" w:eastAsia="仿宋_GB2312"/>
                <w:sz w:val="24"/>
              </w:rPr>
              <w:t>3.88</w:t>
            </w:r>
            <w:r>
              <w:rPr>
                <w:rFonts w:eastAsia="仿宋_GB2312"/>
                <w:sz w:val="24"/>
              </w:rPr>
              <w:t>亿元，同比</w:t>
            </w:r>
            <w:r>
              <w:rPr>
                <w:rFonts w:hint="eastAsia" w:eastAsia="仿宋_GB2312"/>
                <w:sz w:val="24"/>
              </w:rPr>
              <w:t>下降32</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0"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指标5：技工贸收入</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同比增长</w:t>
            </w:r>
            <w:r>
              <w:rPr>
                <w:rFonts w:hint="eastAsia" w:eastAsia="仿宋_GB2312"/>
                <w:sz w:val="24"/>
              </w:rPr>
              <w:t>10</w:t>
            </w:r>
            <w:r>
              <w:rPr>
                <w:rFonts w:eastAsia="仿宋_GB2312"/>
                <w:sz w:val="24"/>
              </w:rPr>
              <w:t>%</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202</w:t>
            </w:r>
            <w:r>
              <w:rPr>
                <w:rFonts w:hint="eastAsia" w:eastAsia="仿宋_GB2312"/>
                <w:sz w:val="24"/>
              </w:rPr>
              <w:t>2</w:t>
            </w:r>
            <w:r>
              <w:rPr>
                <w:rFonts w:eastAsia="仿宋_GB2312"/>
                <w:sz w:val="24"/>
              </w:rPr>
              <w:t>年完成技工贸收入</w:t>
            </w:r>
            <w:r>
              <w:rPr>
                <w:rFonts w:hint="eastAsia" w:eastAsia="仿宋_GB2312"/>
                <w:sz w:val="24"/>
              </w:rPr>
              <w:t>221</w:t>
            </w:r>
            <w:r>
              <w:rPr>
                <w:rFonts w:eastAsia="仿宋_GB2312"/>
                <w:sz w:val="24"/>
              </w:rPr>
              <w:t>亿元，同比增长</w:t>
            </w:r>
            <w:r>
              <w:rPr>
                <w:rFonts w:hint="eastAsia" w:eastAsia="仿宋_GB2312"/>
                <w:sz w:val="24"/>
              </w:rPr>
              <w:t>10</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指标6：省外境内招商到位资金</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同比增长12%</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引进省外境内资金</w:t>
            </w:r>
            <w:r>
              <w:rPr>
                <w:rFonts w:hint="eastAsia" w:eastAsia="仿宋_GB2312"/>
                <w:sz w:val="24"/>
              </w:rPr>
              <w:t>30.08</w:t>
            </w:r>
            <w:r>
              <w:rPr>
                <w:rFonts w:eastAsia="仿宋_GB2312"/>
                <w:sz w:val="24"/>
              </w:rPr>
              <w:t>亿元，同比增长</w:t>
            </w:r>
            <w:r>
              <w:rPr>
                <w:rFonts w:hint="eastAsia" w:eastAsia="仿宋_GB2312"/>
                <w:sz w:val="24"/>
              </w:rPr>
              <w:t>20.32</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6"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jc w:val="center"/>
              <w:textAlignment w:val="center"/>
              <w:rPr>
                <w:rFonts w:eastAsia="仿宋_GB2312" w:cs="仿宋_GB2312"/>
                <w:sz w:val="24"/>
              </w:rPr>
            </w:pPr>
          </w:p>
        </w:tc>
        <w:tc>
          <w:tcPr>
            <w:tcW w:w="856" w:type="dxa"/>
            <w:gridSpan w:val="4"/>
            <w:vMerge w:val="continue"/>
            <w:vAlign w:val="center"/>
          </w:tcPr>
          <w:p>
            <w:pPr>
              <w:autoSpaceDN w:val="0"/>
              <w:spacing w:line="320" w:lineRule="exact"/>
              <w:jc w:val="center"/>
              <w:textAlignment w:val="center"/>
              <w:rPr>
                <w:rFonts w:eastAsia="仿宋_GB2312" w:cs="仿宋_GB2312"/>
                <w:sz w:val="24"/>
              </w:rPr>
            </w:pPr>
          </w:p>
        </w:tc>
        <w:tc>
          <w:tcPr>
            <w:tcW w:w="1911" w:type="dxa"/>
            <w:gridSpan w:val="5"/>
            <w:tcBorders>
              <w:right w:val="single" w:color="auto" w:sz="4" w:space="0"/>
            </w:tcBorders>
            <w:vAlign w:val="center"/>
          </w:tcPr>
          <w:p>
            <w:pPr>
              <w:autoSpaceDN w:val="0"/>
              <w:spacing w:line="320" w:lineRule="exact"/>
              <w:jc w:val="left"/>
              <w:textAlignment w:val="center"/>
              <w:rPr>
                <w:rFonts w:eastAsia="仿宋_GB2312"/>
                <w:sz w:val="24"/>
              </w:rPr>
            </w:pPr>
            <w:r>
              <w:rPr>
                <w:rFonts w:eastAsia="仿宋_GB2312"/>
                <w:sz w:val="24"/>
              </w:rPr>
              <w:t>指标7：进出口总额</w:t>
            </w: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同比增长10%</w:t>
            </w:r>
          </w:p>
        </w:tc>
        <w:tc>
          <w:tcPr>
            <w:tcW w:w="3122" w:type="dxa"/>
            <w:gridSpan w:val="6"/>
            <w:vAlign w:val="center"/>
          </w:tcPr>
          <w:p>
            <w:pPr>
              <w:autoSpaceDN w:val="0"/>
              <w:spacing w:line="320" w:lineRule="exact"/>
              <w:jc w:val="left"/>
              <w:textAlignment w:val="center"/>
              <w:rPr>
                <w:rFonts w:eastAsia="仿宋_GB2312"/>
                <w:sz w:val="24"/>
              </w:rPr>
            </w:pPr>
            <w:r>
              <w:rPr>
                <w:rFonts w:eastAsia="仿宋_GB2312"/>
                <w:sz w:val="24"/>
              </w:rPr>
              <w:t>进出口总额</w:t>
            </w:r>
            <w:r>
              <w:rPr>
                <w:rFonts w:hint="eastAsia" w:eastAsia="仿宋_GB2312"/>
                <w:sz w:val="24"/>
              </w:rPr>
              <w:t>13.5</w:t>
            </w:r>
            <w:r>
              <w:rPr>
                <w:rFonts w:eastAsia="仿宋_GB2312"/>
                <w:sz w:val="24"/>
              </w:rPr>
              <w:t>亿元，同比增长</w:t>
            </w:r>
            <w:r>
              <w:rPr>
                <w:rFonts w:hint="eastAsia" w:eastAsia="仿宋_GB2312"/>
                <w:sz w:val="24"/>
              </w:rPr>
              <w:t>20</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22" w:hRule="atLeast"/>
          <w:jc w:val="center"/>
        </w:trPr>
        <w:tc>
          <w:tcPr>
            <w:tcW w:w="601" w:type="dxa"/>
            <w:vMerge w:val="continue"/>
            <w:vAlign w:val="center"/>
          </w:tcPr>
          <w:p>
            <w:pPr>
              <w:spacing w:line="320" w:lineRule="exact"/>
              <w:rPr>
                <w:rFonts w:eastAsia="仿宋_GB2312" w:cs="仿宋_GB2312"/>
                <w:sz w:val="24"/>
              </w:rPr>
            </w:pPr>
          </w:p>
        </w:tc>
        <w:tc>
          <w:tcPr>
            <w:tcW w:w="833" w:type="dxa"/>
            <w:vMerge w:val="continue"/>
            <w:vAlign w:val="center"/>
          </w:tcPr>
          <w:p>
            <w:pPr>
              <w:autoSpaceDN w:val="0"/>
              <w:spacing w:line="320" w:lineRule="exact"/>
              <w:rPr>
                <w:rFonts w:eastAsia="仿宋_GB2312" w:cs="仿宋_GB2312"/>
                <w:sz w:val="24"/>
              </w:rPr>
            </w:pPr>
          </w:p>
        </w:tc>
        <w:tc>
          <w:tcPr>
            <w:tcW w:w="856"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Cs w:val="21"/>
              </w:rPr>
              <w:t>社会公众或服务对象满意度</w:t>
            </w:r>
          </w:p>
        </w:tc>
        <w:tc>
          <w:tcPr>
            <w:tcW w:w="1911" w:type="dxa"/>
            <w:gridSpan w:val="5"/>
            <w:tcBorders>
              <w:righ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指标1：服务对象满意度</w:t>
            </w:r>
          </w:p>
          <w:p>
            <w:pPr>
              <w:autoSpaceDN w:val="0"/>
              <w:spacing w:line="320" w:lineRule="exact"/>
              <w:jc w:val="center"/>
              <w:textAlignment w:val="center"/>
              <w:rPr>
                <w:rFonts w:eastAsia="仿宋_GB2312"/>
                <w:sz w:val="24"/>
              </w:rPr>
            </w:pPr>
          </w:p>
        </w:tc>
        <w:tc>
          <w:tcPr>
            <w:tcW w:w="2600" w:type="dxa"/>
            <w:gridSpan w:val="5"/>
            <w:tcBorders>
              <w:left w:val="single" w:color="auto" w:sz="4" w:space="0"/>
            </w:tcBorders>
            <w:vAlign w:val="center"/>
          </w:tcPr>
          <w:p>
            <w:pPr>
              <w:autoSpaceDN w:val="0"/>
              <w:spacing w:line="320" w:lineRule="exact"/>
              <w:jc w:val="center"/>
              <w:textAlignment w:val="center"/>
              <w:rPr>
                <w:rFonts w:eastAsia="仿宋_GB2312"/>
                <w:sz w:val="24"/>
              </w:rPr>
            </w:pPr>
            <w:r>
              <w:rPr>
                <w:rFonts w:eastAsia="仿宋_GB2312"/>
                <w:sz w:val="24"/>
              </w:rPr>
              <w:t>90%以上</w:t>
            </w:r>
          </w:p>
        </w:tc>
        <w:tc>
          <w:tcPr>
            <w:tcW w:w="3122" w:type="dxa"/>
            <w:gridSpan w:val="6"/>
            <w:vAlign w:val="center"/>
          </w:tcPr>
          <w:p>
            <w:pPr>
              <w:autoSpaceDN w:val="0"/>
              <w:spacing w:line="320" w:lineRule="exact"/>
              <w:jc w:val="center"/>
              <w:textAlignment w:val="center"/>
              <w:rPr>
                <w:rFonts w:eastAsia="仿宋_GB2312"/>
                <w:sz w:val="24"/>
              </w:rPr>
            </w:pPr>
            <w:r>
              <w:rPr>
                <w:rFonts w:eastAsia="仿宋_GB2312"/>
                <w:sz w:val="24"/>
              </w:rPr>
              <w:t>9</w:t>
            </w:r>
            <w:r>
              <w:rPr>
                <w:rFonts w:hint="eastAsia" w:eastAsia="仿宋_GB2312"/>
                <w:sz w:val="24"/>
              </w:rPr>
              <w:t>5</w:t>
            </w: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0" w:hRule="atLeast"/>
          <w:jc w:val="center"/>
        </w:trPr>
        <w:tc>
          <w:tcPr>
            <w:tcW w:w="1434"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绩效自评综合得分及评价等次</w:t>
            </w:r>
          </w:p>
        </w:tc>
        <w:tc>
          <w:tcPr>
            <w:tcW w:w="8489" w:type="dxa"/>
            <w:gridSpan w:val="20"/>
            <w:vAlign w:val="bottom"/>
          </w:tcPr>
          <w:p>
            <w:pPr>
              <w:spacing w:line="320" w:lineRule="exact"/>
              <w:ind w:firstLine="720" w:firstLineChars="300"/>
              <w:jc w:val="center"/>
              <w:rPr>
                <w:rFonts w:eastAsia="仿宋_GB2312" w:cs="仿宋_GB2312"/>
                <w:sz w:val="24"/>
              </w:rPr>
            </w:pPr>
            <w:r>
              <w:rPr>
                <w:rFonts w:hint="eastAsia" w:eastAsia="仿宋_GB2312" w:cs="仿宋_GB2312"/>
                <w:sz w:val="24"/>
              </w:rPr>
              <w:t>评分：89.5       等级：良</w:t>
            </w:r>
          </w:p>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0" w:hRule="atLeast"/>
          <w:jc w:val="center"/>
        </w:trPr>
        <w:tc>
          <w:tcPr>
            <w:tcW w:w="9923" w:type="dxa"/>
            <w:gridSpan w:val="2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1" w:hRule="atLeast"/>
          <w:jc w:val="center"/>
        </w:trPr>
        <w:tc>
          <w:tcPr>
            <w:tcW w:w="1652"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姓  名</w:t>
            </w:r>
          </w:p>
        </w:tc>
        <w:tc>
          <w:tcPr>
            <w:tcW w:w="3507"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职务/职称</w:t>
            </w:r>
          </w:p>
        </w:tc>
        <w:tc>
          <w:tcPr>
            <w:tcW w:w="1535"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  位</w:t>
            </w:r>
          </w:p>
        </w:tc>
        <w:tc>
          <w:tcPr>
            <w:tcW w:w="3229"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exact"/>
          <w:jc w:val="center"/>
        </w:trPr>
        <w:tc>
          <w:tcPr>
            <w:tcW w:w="1652"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刘波</w:t>
            </w:r>
          </w:p>
        </w:tc>
        <w:tc>
          <w:tcPr>
            <w:tcW w:w="3507"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副主任</w:t>
            </w:r>
          </w:p>
        </w:tc>
        <w:tc>
          <w:tcPr>
            <w:tcW w:w="1535"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财政金融中心</w:t>
            </w:r>
          </w:p>
        </w:tc>
        <w:tc>
          <w:tcPr>
            <w:tcW w:w="3229" w:type="dxa"/>
            <w:gridSpan w:val="7"/>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exact"/>
          <w:jc w:val="center"/>
        </w:trPr>
        <w:tc>
          <w:tcPr>
            <w:tcW w:w="1652"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曾红</w:t>
            </w:r>
          </w:p>
        </w:tc>
        <w:tc>
          <w:tcPr>
            <w:tcW w:w="3507"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四级主任科员</w:t>
            </w:r>
          </w:p>
        </w:tc>
        <w:tc>
          <w:tcPr>
            <w:tcW w:w="1535"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财政金融中心</w:t>
            </w:r>
          </w:p>
        </w:tc>
        <w:tc>
          <w:tcPr>
            <w:tcW w:w="3229" w:type="dxa"/>
            <w:gridSpan w:val="7"/>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exact"/>
          <w:jc w:val="center"/>
        </w:trPr>
        <w:tc>
          <w:tcPr>
            <w:tcW w:w="1652"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韩羿</w:t>
            </w:r>
          </w:p>
        </w:tc>
        <w:tc>
          <w:tcPr>
            <w:tcW w:w="3507"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会计师</w:t>
            </w:r>
          </w:p>
        </w:tc>
        <w:tc>
          <w:tcPr>
            <w:tcW w:w="1535"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财政金融中心</w:t>
            </w:r>
          </w:p>
        </w:tc>
        <w:tc>
          <w:tcPr>
            <w:tcW w:w="3229" w:type="dxa"/>
            <w:gridSpan w:val="7"/>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exact"/>
          <w:jc w:val="center"/>
        </w:trPr>
        <w:tc>
          <w:tcPr>
            <w:tcW w:w="1652" w:type="dxa"/>
            <w:gridSpan w:val="4"/>
            <w:vAlign w:val="center"/>
          </w:tcPr>
          <w:p>
            <w:pPr>
              <w:autoSpaceDN w:val="0"/>
              <w:spacing w:line="320" w:lineRule="exact"/>
              <w:textAlignment w:val="center"/>
              <w:rPr>
                <w:rFonts w:eastAsia="仿宋_GB2312" w:cs="仿宋_GB2312"/>
                <w:sz w:val="24"/>
              </w:rPr>
            </w:pPr>
            <w:r>
              <w:rPr>
                <w:rFonts w:hint="eastAsia" w:eastAsia="仿宋_GB2312" w:cs="仿宋_GB2312"/>
                <w:sz w:val="24"/>
              </w:rPr>
              <w:t>隆洋</w:t>
            </w:r>
          </w:p>
        </w:tc>
        <w:tc>
          <w:tcPr>
            <w:tcW w:w="3507"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会计师</w:t>
            </w:r>
          </w:p>
        </w:tc>
        <w:tc>
          <w:tcPr>
            <w:tcW w:w="1535"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财政金融中心</w:t>
            </w:r>
          </w:p>
        </w:tc>
        <w:tc>
          <w:tcPr>
            <w:tcW w:w="3229" w:type="dxa"/>
            <w:gridSpan w:val="7"/>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exact"/>
          <w:jc w:val="center"/>
        </w:trPr>
        <w:tc>
          <w:tcPr>
            <w:tcW w:w="1652" w:type="dxa"/>
            <w:gridSpan w:val="4"/>
            <w:vAlign w:val="center"/>
          </w:tcPr>
          <w:p>
            <w:pPr>
              <w:autoSpaceDN w:val="0"/>
              <w:spacing w:line="320" w:lineRule="exact"/>
              <w:jc w:val="center"/>
              <w:textAlignment w:val="center"/>
              <w:rPr>
                <w:rFonts w:eastAsia="仿宋_GB2312" w:cs="仿宋_GB2312"/>
                <w:sz w:val="24"/>
              </w:rPr>
            </w:pPr>
          </w:p>
        </w:tc>
        <w:tc>
          <w:tcPr>
            <w:tcW w:w="3507" w:type="dxa"/>
            <w:gridSpan w:val="8"/>
            <w:vAlign w:val="center"/>
          </w:tcPr>
          <w:p>
            <w:pPr>
              <w:autoSpaceDN w:val="0"/>
              <w:spacing w:line="320" w:lineRule="exact"/>
              <w:jc w:val="center"/>
              <w:textAlignment w:val="center"/>
              <w:rPr>
                <w:rFonts w:eastAsia="仿宋_GB2312" w:cs="仿宋_GB2312"/>
                <w:sz w:val="24"/>
              </w:rPr>
            </w:pPr>
          </w:p>
        </w:tc>
        <w:tc>
          <w:tcPr>
            <w:tcW w:w="1535" w:type="dxa"/>
            <w:gridSpan w:val="3"/>
            <w:vAlign w:val="center"/>
          </w:tcPr>
          <w:p>
            <w:pPr>
              <w:autoSpaceDN w:val="0"/>
              <w:spacing w:line="320" w:lineRule="exact"/>
              <w:jc w:val="center"/>
              <w:textAlignment w:val="center"/>
              <w:rPr>
                <w:rFonts w:eastAsia="仿宋_GB2312" w:cs="仿宋_GB2312"/>
                <w:sz w:val="24"/>
              </w:rPr>
            </w:pPr>
          </w:p>
        </w:tc>
        <w:tc>
          <w:tcPr>
            <w:tcW w:w="3229" w:type="dxa"/>
            <w:gridSpan w:val="7"/>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4" w:hRule="atLeast"/>
          <w:jc w:val="center"/>
        </w:trPr>
        <w:tc>
          <w:tcPr>
            <w:tcW w:w="9923" w:type="dxa"/>
            <w:gridSpan w:val="22"/>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20" w:lineRule="exact"/>
              <w:ind w:firstLine="5760" w:firstLineChars="2400"/>
              <w:jc w:val="left"/>
              <w:textAlignment w:val="center"/>
              <w:rPr>
                <w:rFonts w:eastAsia="仿宋_GB2312" w:cs="仿宋_GB2312"/>
                <w:sz w:val="24"/>
              </w:rPr>
            </w:pPr>
          </w:p>
          <w:p>
            <w:pPr>
              <w:autoSpaceDN w:val="0"/>
              <w:spacing w:line="320" w:lineRule="exact"/>
              <w:ind w:firstLine="1785" w:firstLineChars="850"/>
              <w:jc w:val="left"/>
              <w:textAlignment w:val="center"/>
              <w:rPr>
                <w:rFonts w:eastAsia="仿宋_GB2312" w:cs="仿宋_GB2312"/>
                <w:sz w:val="24"/>
              </w:rPr>
            </w:pPr>
            <w:r>
              <w:rPr>
                <w:rFonts w:hint="eastAsia"/>
              </w:rPr>
              <w:t>同意</w:t>
            </w:r>
            <w:r>
              <w:rPr>
                <w:rFonts w:hint="eastAsia" w:eastAsia="仿宋_GB2312" w:cs="仿宋_GB2312"/>
                <w:sz w:val="24"/>
              </w:rPr>
              <w:t xml:space="preserve">                               评价组组长（签字）：刘波</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2023  年    6月  20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50" w:hRule="atLeast"/>
          <w:jc w:val="center"/>
        </w:trPr>
        <w:tc>
          <w:tcPr>
            <w:tcW w:w="9923" w:type="dxa"/>
            <w:gridSpan w:val="22"/>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eastAsia="仿宋_GB2312" w:cs="仿宋_GB2312"/>
                <w:sz w:val="24"/>
              </w:rPr>
            </w:pPr>
          </w:p>
          <w:p>
            <w:pPr>
              <w:pStyle w:val="6"/>
            </w:pPr>
          </w:p>
          <w:p>
            <w:pPr>
              <w:pStyle w:val="6"/>
            </w:pPr>
            <w:r>
              <w:rPr>
                <w:rFonts w:hint="eastAsia"/>
              </w:rPr>
              <w:t xml:space="preserve">                      同意</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部门（单位）负责人（签字）：  戴晓军              部门（单位）（盖章）：</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2023  年  6  月  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43" w:hRule="atLeast"/>
          <w:jc w:val="center"/>
        </w:trPr>
        <w:tc>
          <w:tcPr>
            <w:tcW w:w="9923" w:type="dxa"/>
            <w:gridSpan w:val="22"/>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pStyle w:val="6"/>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财政部门归口业务科室负责人（签字）：              财政部门归口业务科室（盖章）：</w:t>
            </w:r>
          </w:p>
          <w:p>
            <w:pPr>
              <w:autoSpaceDN w:val="0"/>
              <w:spacing w:line="320" w:lineRule="exact"/>
              <w:jc w:val="left"/>
              <w:textAlignment w:val="center"/>
              <w:rPr>
                <w:rFonts w:eastAsia="仿宋_GB2312"/>
                <w:sz w:val="24"/>
              </w:rPr>
            </w:pPr>
          </w:p>
          <w:p>
            <w:pPr>
              <w:autoSpaceDN w:val="0"/>
              <w:spacing w:line="320" w:lineRule="exact"/>
              <w:ind w:firstLine="7680" w:firstLineChars="3200"/>
              <w:jc w:val="left"/>
              <w:textAlignment w:val="center"/>
              <w:rPr>
                <w:rFonts w:eastAsia="仿宋_GB2312" w:cs="仿宋_GB2312"/>
                <w:sz w:val="24"/>
              </w:rPr>
            </w:pPr>
            <w:r>
              <w:rPr>
                <w:rFonts w:hint="eastAsia" w:eastAsia="仿宋_GB2312"/>
                <w:sz w:val="24"/>
              </w:rPr>
              <w:t>年    月   日</w:t>
            </w:r>
          </w:p>
        </w:tc>
      </w:tr>
    </w:tbl>
    <w:tbl>
      <w:tblPr>
        <w:tblStyle w:val="15"/>
        <w:tblpPr w:leftFromText="180" w:rightFromText="180" w:vertAnchor="text" w:tblpX="10483" w:tblpY="-32713"/>
        <w:tblOverlap w:val="never"/>
        <w:tblW w:w="1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Pr>
          <w:p>
            <w:pPr>
              <w:spacing w:line="560" w:lineRule="exact"/>
              <w:jc w:val="center"/>
              <w:rPr>
                <w:rFonts w:eastAsia="方正小标宋_GBK"/>
                <w:sz w:val="36"/>
                <w:szCs w:val="36"/>
              </w:rPr>
            </w:pPr>
          </w:p>
        </w:tc>
      </w:tr>
    </w:tbl>
    <w:p>
      <w:pPr>
        <w:pStyle w:val="22"/>
        <w:ind w:firstLine="3415" w:firstLineChars="945"/>
        <w:rPr>
          <w:color w:val="FF0000"/>
          <w:sz w:val="36"/>
          <w:szCs w:val="36"/>
          <w:lang w:val="zh-CN"/>
        </w:rPr>
        <w:sectPr>
          <w:headerReference r:id="rId3" w:type="first"/>
          <w:footerReference r:id="rId4" w:type="default"/>
          <w:footerReference r:id="rId5" w:type="even"/>
          <w:pgSz w:w="11905" w:h="16837"/>
          <w:pgMar w:top="1418" w:right="1531" w:bottom="1985" w:left="1531" w:header="851" w:footer="1701" w:gutter="0"/>
          <w:pgNumType w:fmt="numberInDash"/>
          <w:cols w:space="720" w:num="1"/>
          <w:docGrid w:linePitch="636" w:charSpace="20838"/>
        </w:sectPr>
      </w:pPr>
    </w:p>
    <w:p>
      <w:pPr>
        <w:pStyle w:val="22"/>
        <w:ind w:firstLine="3795" w:firstLineChars="945"/>
        <w:rPr>
          <w:color w:val="auto"/>
          <w:sz w:val="40"/>
          <w:szCs w:val="36"/>
          <w:lang w:val="zh-CN"/>
        </w:rPr>
      </w:pPr>
      <w:r>
        <w:rPr>
          <w:color w:val="auto"/>
          <w:sz w:val="40"/>
          <w:szCs w:val="36"/>
          <w:lang w:val="zh-CN"/>
        </w:rPr>
        <w:t>目录</w:t>
      </w:r>
    </w:p>
    <w:p>
      <w:pPr>
        <w:rPr>
          <w:rFonts w:ascii="仿宋_GB2312" w:eastAsia="仿宋_GB2312"/>
          <w:sz w:val="24"/>
          <w:lang w:val="zh-CN"/>
        </w:rPr>
      </w:pPr>
    </w:p>
    <w:p>
      <w:pPr>
        <w:pStyle w:val="12"/>
        <w:tabs>
          <w:tab w:val="right" w:leader="dot" w:pos="8833"/>
        </w:tabs>
        <w:spacing w:line="360" w:lineRule="auto"/>
        <w:rPr>
          <w:rFonts w:asciiTheme="minorHAnsi" w:hAnsiTheme="minorHAnsi" w:eastAsiaTheme="minorEastAsia" w:cstheme="minorBidi"/>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"_Toc106607013" </w:instrText>
      </w:r>
      <w:r>
        <w:fldChar w:fldCharType="separate"/>
      </w:r>
      <w:r>
        <w:rPr>
          <w:rStyle w:val="19"/>
          <w:rFonts w:hint="eastAsia" w:eastAsia="黑体"/>
          <w:bCs/>
          <w:sz w:val="24"/>
        </w:rPr>
        <w:t>一、基本情况</w:t>
      </w:r>
      <w:r>
        <w:rPr>
          <w:sz w:val="24"/>
        </w:rPr>
        <w:tab/>
      </w:r>
      <w:r>
        <w:rPr>
          <w:sz w:val="24"/>
        </w:rPr>
        <w:fldChar w:fldCharType="begin"/>
      </w:r>
      <w:r>
        <w:rPr>
          <w:sz w:val="24"/>
        </w:rPr>
        <w:instrText xml:space="preserve"> PAGEREF _Toc106607013 \h </w:instrText>
      </w:r>
      <w:r>
        <w:rPr>
          <w:sz w:val="24"/>
        </w:rPr>
        <w:fldChar w:fldCharType="separate"/>
      </w:r>
      <w:r>
        <w:rPr>
          <w:sz w:val="24"/>
        </w:rPr>
        <w:t>- 1 -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"_Toc106607014" </w:instrText>
      </w:r>
      <w:r>
        <w:fldChar w:fldCharType="separate"/>
      </w:r>
      <w:r>
        <w:rPr>
          <w:rStyle w:val="19"/>
          <w:rFonts w:hint="eastAsia" w:eastAsia="楷体_GB2312"/>
          <w:bCs/>
          <w:sz w:val="24"/>
        </w:rPr>
        <w:t>（一）部门（单位）基本情</w:t>
      </w:r>
      <w:r>
        <w:rPr>
          <w:rStyle w:val="19"/>
          <w:rFonts w:hint="eastAsia" w:cs="宋体"/>
          <w:bCs/>
          <w:sz w:val="24"/>
        </w:rPr>
        <w:t>况</w:t>
      </w:r>
      <w:r>
        <w:rPr>
          <w:sz w:val="24"/>
        </w:rPr>
        <w:tab/>
      </w:r>
      <w:r>
        <w:rPr>
          <w:sz w:val="24"/>
        </w:rPr>
        <w:fldChar w:fldCharType="begin"/>
      </w:r>
      <w:r>
        <w:rPr>
          <w:sz w:val="24"/>
        </w:rPr>
        <w:instrText xml:space="preserve"> PAGEREF _Toc106607014 \h </w:instrText>
      </w:r>
      <w:r>
        <w:rPr>
          <w:sz w:val="24"/>
        </w:rPr>
        <w:fldChar w:fldCharType="separate"/>
      </w:r>
      <w:r>
        <w:rPr>
          <w:sz w:val="24"/>
        </w:rPr>
        <w:t>- 1 -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"_Toc106607015" </w:instrText>
      </w:r>
      <w:r>
        <w:fldChar w:fldCharType="separate"/>
      </w:r>
      <w:r>
        <w:rPr>
          <w:rStyle w:val="19"/>
          <w:rFonts w:hint="eastAsia" w:eastAsia="楷体_GB2312"/>
          <w:bCs/>
          <w:sz w:val="24"/>
        </w:rPr>
        <w:t>（二） 部门（单位）年度整体支出绩效目标，专项资金绩效目标</w:t>
      </w:r>
      <w:r>
        <w:rPr>
          <w:sz w:val="24"/>
        </w:rPr>
        <w:tab/>
      </w:r>
      <w:r>
        <w:rPr>
          <w:sz w:val="24"/>
        </w:rPr>
        <w:fldChar w:fldCharType="begin"/>
      </w:r>
      <w:r>
        <w:rPr>
          <w:sz w:val="24"/>
        </w:rPr>
        <w:instrText xml:space="preserve"> PAGEREF _Toc106607015 \h </w:instrText>
      </w:r>
      <w:r>
        <w:rPr>
          <w:sz w:val="24"/>
        </w:rPr>
        <w:fldChar w:fldCharType="separate"/>
      </w:r>
      <w:r>
        <w:rPr>
          <w:sz w:val="24"/>
        </w:rPr>
        <w:t>- 3 -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"_Toc106607016" </w:instrText>
      </w:r>
      <w:r>
        <w:fldChar w:fldCharType="separate"/>
      </w:r>
      <w:r>
        <w:rPr>
          <w:rStyle w:val="19"/>
          <w:rFonts w:hint="eastAsia" w:ascii="黑体" w:hAnsi="黑体" w:eastAsia="黑体" w:cs="黑体"/>
          <w:bCs/>
          <w:sz w:val="24"/>
        </w:rPr>
        <w:t>二、 一般公共预算支出情况</w:t>
      </w:r>
      <w:r>
        <w:rPr>
          <w:sz w:val="24"/>
        </w:rPr>
        <w:tab/>
      </w:r>
      <w:r>
        <w:rPr>
          <w:sz w:val="24"/>
        </w:rPr>
        <w:fldChar w:fldCharType="begin"/>
      </w:r>
      <w:r>
        <w:rPr>
          <w:sz w:val="24"/>
        </w:rPr>
        <w:instrText xml:space="preserve"> PAGEREF _Toc106607016 \h </w:instrText>
      </w:r>
      <w:r>
        <w:rPr>
          <w:sz w:val="24"/>
        </w:rPr>
        <w:fldChar w:fldCharType="separate"/>
      </w:r>
      <w:r>
        <w:rPr>
          <w:sz w:val="24"/>
        </w:rPr>
        <w:t>- 4 -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"_Toc106607017" </w:instrText>
      </w:r>
      <w:r>
        <w:fldChar w:fldCharType="separate"/>
      </w:r>
      <w:r>
        <w:rPr>
          <w:rStyle w:val="19"/>
          <w:rFonts w:hint="eastAsia" w:eastAsia="仿宋_GB2312" w:cs="仿宋_GB2312"/>
          <w:bCs/>
          <w:sz w:val="24"/>
        </w:rPr>
        <w:t>（一）基本支出情况</w:t>
      </w:r>
      <w:r>
        <w:rPr>
          <w:sz w:val="24"/>
        </w:rPr>
        <w:tab/>
      </w:r>
      <w:r>
        <w:rPr>
          <w:sz w:val="24"/>
        </w:rPr>
        <w:fldChar w:fldCharType="begin"/>
      </w:r>
      <w:r>
        <w:rPr>
          <w:sz w:val="24"/>
        </w:rPr>
        <w:instrText xml:space="preserve"> PAGEREF _Toc106607017 \h </w:instrText>
      </w:r>
      <w:r>
        <w:rPr>
          <w:sz w:val="24"/>
        </w:rPr>
        <w:fldChar w:fldCharType="separate"/>
      </w:r>
      <w:r>
        <w:rPr>
          <w:sz w:val="24"/>
        </w:rPr>
        <w:t>- 5 -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"_Toc106607018" </w:instrText>
      </w:r>
      <w:r>
        <w:fldChar w:fldCharType="separate"/>
      </w:r>
      <w:r>
        <w:rPr>
          <w:rStyle w:val="19"/>
          <w:rFonts w:hint="eastAsia" w:eastAsia="仿宋_GB2312" w:cs="仿宋_GB2312"/>
          <w:bCs/>
          <w:sz w:val="24"/>
        </w:rPr>
        <w:t>（二）项目支出情况</w:t>
      </w:r>
      <w:r>
        <w:rPr>
          <w:sz w:val="24"/>
        </w:rPr>
        <w:tab/>
      </w:r>
      <w:r>
        <w:rPr>
          <w:sz w:val="24"/>
        </w:rPr>
        <w:fldChar w:fldCharType="begin"/>
      </w:r>
      <w:r>
        <w:rPr>
          <w:sz w:val="24"/>
        </w:rPr>
        <w:instrText xml:space="preserve"> PAGEREF _Toc106607018 \h </w:instrText>
      </w:r>
      <w:r>
        <w:rPr>
          <w:sz w:val="24"/>
        </w:rPr>
        <w:fldChar w:fldCharType="separate"/>
      </w:r>
      <w:r>
        <w:rPr>
          <w:sz w:val="24"/>
        </w:rPr>
        <w:t>- 5 -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"_Toc106607019" </w:instrText>
      </w:r>
      <w:r>
        <w:fldChar w:fldCharType="separate"/>
      </w:r>
      <w:r>
        <w:rPr>
          <w:rStyle w:val="19"/>
          <w:rFonts w:hint="eastAsia" w:eastAsia="仿宋_GB2312" w:cs="仿宋_GB2312"/>
          <w:bCs/>
          <w:sz w:val="24"/>
        </w:rPr>
        <w:t>（三） 项目管理情况</w:t>
      </w:r>
      <w:r>
        <w:rPr>
          <w:sz w:val="24"/>
        </w:rPr>
        <w:tab/>
      </w:r>
      <w:r>
        <w:rPr>
          <w:sz w:val="24"/>
        </w:rPr>
        <w:fldChar w:fldCharType="begin"/>
      </w:r>
      <w:r>
        <w:rPr>
          <w:sz w:val="24"/>
        </w:rPr>
        <w:instrText xml:space="preserve"> PAGEREF _Toc106607019 \h </w:instrText>
      </w:r>
      <w:r>
        <w:rPr>
          <w:sz w:val="24"/>
        </w:rPr>
        <w:fldChar w:fldCharType="separate"/>
      </w:r>
      <w:r>
        <w:rPr>
          <w:sz w:val="24"/>
        </w:rPr>
        <w:t>- 15 -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"_Toc106607020" </w:instrText>
      </w:r>
      <w:r>
        <w:fldChar w:fldCharType="separate"/>
      </w:r>
      <w:r>
        <w:rPr>
          <w:rStyle w:val="19"/>
          <w:rFonts w:hint="eastAsia" w:eastAsia="黑体"/>
          <w:sz w:val="24"/>
        </w:rPr>
        <w:t>三、 政府性基金预算支出情况</w:t>
      </w:r>
      <w:r>
        <w:rPr>
          <w:sz w:val="24"/>
        </w:rPr>
        <w:tab/>
      </w:r>
      <w:r>
        <w:rPr>
          <w:sz w:val="24"/>
        </w:rPr>
        <w:fldChar w:fldCharType="begin"/>
      </w:r>
      <w:r>
        <w:rPr>
          <w:sz w:val="24"/>
        </w:rPr>
        <w:instrText xml:space="preserve"> PAGEREF _Toc106607020 \h </w:instrText>
      </w:r>
      <w:r>
        <w:rPr>
          <w:sz w:val="24"/>
        </w:rPr>
        <w:fldChar w:fldCharType="separate"/>
      </w:r>
      <w:r>
        <w:rPr>
          <w:sz w:val="24"/>
        </w:rPr>
        <w:t>- 16 -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"_Toc106607021" </w:instrText>
      </w:r>
      <w:r>
        <w:fldChar w:fldCharType="separate"/>
      </w:r>
      <w:r>
        <w:rPr>
          <w:rStyle w:val="19"/>
          <w:rFonts w:hint="eastAsia" w:eastAsia="黑体"/>
          <w:sz w:val="24"/>
        </w:rPr>
        <w:t>四、 国有资本经营预算支出情况</w:t>
      </w:r>
      <w:r>
        <w:rPr>
          <w:sz w:val="24"/>
        </w:rPr>
        <w:tab/>
      </w:r>
      <w:r>
        <w:rPr>
          <w:sz w:val="24"/>
        </w:rPr>
        <w:fldChar w:fldCharType="begin"/>
      </w:r>
      <w:r>
        <w:rPr>
          <w:sz w:val="24"/>
        </w:rPr>
        <w:instrText xml:space="preserve"> PAGEREF _Toc106607021 \h </w:instrText>
      </w:r>
      <w:r>
        <w:rPr>
          <w:sz w:val="24"/>
        </w:rPr>
        <w:fldChar w:fldCharType="separate"/>
      </w:r>
      <w:r>
        <w:rPr>
          <w:sz w:val="24"/>
        </w:rPr>
        <w:t>- 16 -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"_Toc106607022" </w:instrText>
      </w:r>
      <w:r>
        <w:fldChar w:fldCharType="separate"/>
      </w:r>
      <w:r>
        <w:rPr>
          <w:rStyle w:val="19"/>
          <w:rFonts w:hint="eastAsia" w:eastAsia="黑体"/>
          <w:sz w:val="24"/>
        </w:rPr>
        <w:t>五、 社会保险基金预算支出情况</w:t>
      </w:r>
      <w:r>
        <w:rPr>
          <w:sz w:val="24"/>
        </w:rPr>
        <w:tab/>
      </w:r>
      <w:r>
        <w:rPr>
          <w:sz w:val="24"/>
        </w:rPr>
        <w:fldChar w:fldCharType="begin"/>
      </w:r>
      <w:r>
        <w:rPr>
          <w:sz w:val="24"/>
        </w:rPr>
        <w:instrText xml:space="preserve"> PAGEREF _Toc106607022 \h </w:instrText>
      </w:r>
      <w:r>
        <w:rPr>
          <w:sz w:val="24"/>
        </w:rPr>
        <w:fldChar w:fldCharType="separate"/>
      </w:r>
      <w:r>
        <w:rPr>
          <w:sz w:val="24"/>
        </w:rPr>
        <w:t>- 16 -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"_Toc106607023" </w:instrText>
      </w:r>
      <w:r>
        <w:fldChar w:fldCharType="separate"/>
      </w:r>
      <w:r>
        <w:rPr>
          <w:rStyle w:val="19"/>
          <w:rFonts w:hint="eastAsia" w:eastAsia="黑体"/>
          <w:sz w:val="24"/>
        </w:rPr>
        <w:t>六、 部门整体支出绩效情况</w:t>
      </w:r>
      <w:r>
        <w:rPr>
          <w:sz w:val="24"/>
        </w:rPr>
        <w:tab/>
      </w:r>
      <w:r>
        <w:rPr>
          <w:sz w:val="24"/>
        </w:rPr>
        <w:fldChar w:fldCharType="begin"/>
      </w:r>
      <w:r>
        <w:rPr>
          <w:sz w:val="24"/>
        </w:rPr>
        <w:instrText xml:space="preserve"> PAGEREF _Toc106607023 \h </w:instrText>
      </w:r>
      <w:r>
        <w:rPr>
          <w:sz w:val="24"/>
        </w:rPr>
        <w:fldChar w:fldCharType="separate"/>
      </w:r>
      <w:r>
        <w:rPr>
          <w:sz w:val="24"/>
        </w:rPr>
        <w:t>- 17 -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"_Toc106607024" </w:instrText>
      </w:r>
      <w:r>
        <w:fldChar w:fldCharType="separate"/>
      </w:r>
      <w:r>
        <w:rPr>
          <w:rStyle w:val="19"/>
          <w:rFonts w:hint="eastAsia" w:ascii="仿宋_GB2312" w:eastAsia="仿宋_GB2312"/>
          <w:bCs/>
          <w:sz w:val="24"/>
        </w:rPr>
        <w:t>（一）年度总体目标完成情况</w:t>
      </w:r>
      <w:r>
        <w:rPr>
          <w:sz w:val="24"/>
        </w:rPr>
        <w:tab/>
      </w:r>
      <w:r>
        <w:rPr>
          <w:sz w:val="24"/>
        </w:rPr>
        <w:fldChar w:fldCharType="begin"/>
      </w:r>
      <w:r>
        <w:rPr>
          <w:sz w:val="24"/>
        </w:rPr>
        <w:instrText xml:space="preserve"> PAGEREF _Toc106607024 \h </w:instrText>
      </w:r>
      <w:r>
        <w:rPr>
          <w:sz w:val="24"/>
        </w:rPr>
        <w:fldChar w:fldCharType="separate"/>
      </w:r>
      <w:r>
        <w:rPr>
          <w:sz w:val="24"/>
        </w:rPr>
        <w:t>- 17 -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"_Toc106607025" </w:instrText>
      </w:r>
      <w:r>
        <w:fldChar w:fldCharType="separate"/>
      </w:r>
      <w:r>
        <w:rPr>
          <w:rStyle w:val="19"/>
          <w:rFonts w:hint="eastAsia" w:ascii="仿宋_GB2312" w:eastAsia="仿宋_GB2312"/>
          <w:bCs/>
          <w:sz w:val="24"/>
        </w:rPr>
        <w:t>（二）预算资金及资产管理情况</w:t>
      </w:r>
      <w:r>
        <w:rPr>
          <w:sz w:val="24"/>
        </w:rPr>
        <w:tab/>
      </w:r>
      <w:r>
        <w:rPr>
          <w:sz w:val="24"/>
        </w:rPr>
        <w:fldChar w:fldCharType="begin"/>
      </w:r>
      <w:r>
        <w:rPr>
          <w:sz w:val="24"/>
        </w:rPr>
        <w:instrText xml:space="preserve"> PAGEREF _Toc106607025 \h </w:instrText>
      </w:r>
      <w:r>
        <w:rPr>
          <w:sz w:val="24"/>
        </w:rPr>
        <w:fldChar w:fldCharType="separate"/>
      </w:r>
      <w:r>
        <w:rPr>
          <w:sz w:val="24"/>
        </w:rPr>
        <w:t>- 17 -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"_Toc106607026" </w:instrText>
      </w:r>
      <w:r>
        <w:fldChar w:fldCharType="separate"/>
      </w:r>
      <w:r>
        <w:rPr>
          <w:rStyle w:val="19"/>
          <w:rFonts w:hint="eastAsia" w:ascii="仿宋_GB2312" w:eastAsia="仿宋_GB2312"/>
          <w:bCs/>
          <w:sz w:val="24"/>
        </w:rPr>
        <w:t>（三）实现的产出和取得的效益方面</w:t>
      </w:r>
      <w:r>
        <w:rPr>
          <w:sz w:val="24"/>
        </w:rPr>
        <w:tab/>
      </w:r>
      <w:r>
        <w:rPr>
          <w:sz w:val="24"/>
        </w:rPr>
        <w:fldChar w:fldCharType="begin"/>
      </w:r>
      <w:r>
        <w:rPr>
          <w:sz w:val="24"/>
        </w:rPr>
        <w:instrText xml:space="preserve"> PAGEREF _Toc106607026 \h </w:instrText>
      </w:r>
      <w:r>
        <w:rPr>
          <w:sz w:val="24"/>
        </w:rPr>
        <w:fldChar w:fldCharType="separate"/>
      </w:r>
      <w:r>
        <w:rPr>
          <w:sz w:val="24"/>
        </w:rPr>
        <w:t>- 20 -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"_Toc106607027" </w:instrText>
      </w:r>
      <w:r>
        <w:fldChar w:fldCharType="separate"/>
      </w:r>
      <w:r>
        <w:rPr>
          <w:rStyle w:val="19"/>
          <w:rFonts w:hint="eastAsia" w:ascii="仿宋_GB2312" w:eastAsia="仿宋_GB2312"/>
          <w:bCs/>
          <w:sz w:val="24"/>
        </w:rPr>
        <w:t>（四）运行成本、管理效率、履职效能方面</w:t>
      </w:r>
      <w:r>
        <w:rPr>
          <w:sz w:val="24"/>
        </w:rPr>
        <w:tab/>
      </w:r>
      <w:r>
        <w:rPr>
          <w:sz w:val="24"/>
        </w:rPr>
        <w:fldChar w:fldCharType="begin"/>
      </w:r>
      <w:r>
        <w:rPr>
          <w:sz w:val="24"/>
        </w:rPr>
        <w:instrText xml:space="preserve"> PAGEREF _Toc106607027 \h </w:instrText>
      </w:r>
      <w:r>
        <w:rPr>
          <w:sz w:val="24"/>
        </w:rPr>
        <w:fldChar w:fldCharType="separate"/>
      </w:r>
      <w:r>
        <w:rPr>
          <w:sz w:val="24"/>
        </w:rPr>
        <w:t>- 21 -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"_Toc106607028" </w:instrText>
      </w:r>
      <w:r>
        <w:fldChar w:fldCharType="separate"/>
      </w:r>
      <w:r>
        <w:rPr>
          <w:rStyle w:val="19"/>
          <w:rFonts w:hint="eastAsia" w:ascii="仿宋_GB2312" w:eastAsia="仿宋_GB2312"/>
          <w:bCs/>
          <w:sz w:val="24"/>
        </w:rPr>
        <w:t>（五）社会效应、可持续发展能力和服务对象满意度方面</w:t>
      </w:r>
      <w:r>
        <w:rPr>
          <w:sz w:val="24"/>
        </w:rPr>
        <w:tab/>
      </w:r>
      <w:r>
        <w:rPr>
          <w:sz w:val="24"/>
        </w:rPr>
        <w:fldChar w:fldCharType="begin"/>
      </w:r>
      <w:r>
        <w:rPr>
          <w:sz w:val="24"/>
        </w:rPr>
        <w:instrText xml:space="preserve"> PAGEREF _Toc106607028 \h </w:instrText>
      </w:r>
      <w:r>
        <w:rPr>
          <w:sz w:val="24"/>
        </w:rPr>
        <w:fldChar w:fldCharType="separate"/>
      </w:r>
      <w:r>
        <w:rPr>
          <w:sz w:val="24"/>
        </w:rPr>
        <w:t>- 22 -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"_Toc106607029" </w:instrText>
      </w:r>
      <w:r>
        <w:fldChar w:fldCharType="separate"/>
      </w:r>
      <w:r>
        <w:rPr>
          <w:rStyle w:val="19"/>
          <w:rFonts w:hint="eastAsia" w:eastAsia="黑体"/>
          <w:bCs/>
          <w:sz w:val="24"/>
        </w:rPr>
        <w:t>七、综合评价情况及评价结论</w:t>
      </w:r>
      <w:r>
        <w:rPr>
          <w:sz w:val="24"/>
        </w:rPr>
        <w:tab/>
      </w:r>
      <w:r>
        <w:rPr>
          <w:sz w:val="24"/>
        </w:rPr>
        <w:fldChar w:fldCharType="begin"/>
      </w:r>
      <w:r>
        <w:rPr>
          <w:sz w:val="24"/>
        </w:rPr>
        <w:instrText xml:space="preserve"> PAGEREF _Toc106607029 \h </w:instrText>
      </w:r>
      <w:r>
        <w:rPr>
          <w:sz w:val="24"/>
        </w:rPr>
        <w:fldChar w:fldCharType="separate"/>
      </w:r>
      <w:r>
        <w:rPr>
          <w:sz w:val="24"/>
        </w:rPr>
        <w:t>- 22 -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"_Toc106607030" </w:instrText>
      </w:r>
      <w:r>
        <w:fldChar w:fldCharType="separate"/>
      </w:r>
      <w:r>
        <w:rPr>
          <w:rStyle w:val="19"/>
          <w:rFonts w:hint="eastAsia" w:eastAsia="黑体"/>
          <w:bCs/>
          <w:sz w:val="24"/>
        </w:rPr>
        <w:t>八、主要经验做法、存在的问题及原因分析</w:t>
      </w:r>
      <w:r>
        <w:rPr>
          <w:sz w:val="24"/>
        </w:rPr>
        <w:tab/>
      </w:r>
      <w:r>
        <w:rPr>
          <w:sz w:val="24"/>
        </w:rPr>
        <w:fldChar w:fldCharType="begin"/>
      </w:r>
      <w:r>
        <w:rPr>
          <w:sz w:val="24"/>
        </w:rPr>
        <w:instrText xml:space="preserve"> PAGEREF _Toc106607030 \h </w:instrText>
      </w:r>
      <w:r>
        <w:rPr>
          <w:sz w:val="24"/>
        </w:rPr>
        <w:fldChar w:fldCharType="separate"/>
      </w:r>
      <w:r>
        <w:rPr>
          <w:sz w:val="24"/>
        </w:rPr>
        <w:t>- 23 -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"_Toc106607031" </w:instrText>
      </w:r>
      <w:r>
        <w:fldChar w:fldCharType="separate"/>
      </w:r>
      <w:r>
        <w:rPr>
          <w:rStyle w:val="19"/>
          <w:rFonts w:hint="eastAsia" w:ascii="仿宋_GB2312" w:hAnsi="仿宋_GB2312" w:eastAsia="仿宋_GB2312" w:cs="仿宋_GB2312"/>
          <w:sz w:val="24"/>
        </w:rPr>
        <w:t>（一）主要经验做法</w:t>
      </w:r>
      <w:r>
        <w:rPr>
          <w:sz w:val="24"/>
        </w:rPr>
        <w:tab/>
      </w:r>
      <w:r>
        <w:rPr>
          <w:sz w:val="24"/>
        </w:rPr>
        <w:fldChar w:fldCharType="begin"/>
      </w:r>
      <w:r>
        <w:rPr>
          <w:sz w:val="24"/>
        </w:rPr>
        <w:instrText xml:space="preserve"> PAGEREF _Toc106607031 \h </w:instrText>
      </w:r>
      <w:r>
        <w:rPr>
          <w:sz w:val="24"/>
        </w:rPr>
        <w:fldChar w:fldCharType="separate"/>
      </w:r>
      <w:r>
        <w:rPr>
          <w:sz w:val="24"/>
        </w:rPr>
        <w:t>- 23 -</w:t>
      </w:r>
      <w:r>
        <w:rPr>
          <w:sz w:val="24"/>
        </w:rPr>
        <w:fldChar w:fldCharType="end"/>
      </w:r>
      <w:r>
        <w:rPr>
          <w:sz w:val="24"/>
        </w:rPr>
        <w:fldChar w:fldCharType="end"/>
      </w:r>
    </w:p>
    <w:p>
      <w:pPr>
        <w:pStyle w:val="13"/>
        <w:spacing w:line="360" w:lineRule="auto"/>
        <w:rPr>
          <w:rFonts w:asciiTheme="minorHAnsi" w:hAnsiTheme="minorHAnsi" w:eastAsiaTheme="minorEastAsia" w:cstheme="minorBidi"/>
          <w:sz w:val="24"/>
        </w:rPr>
      </w:pPr>
      <w:r>
        <w:fldChar w:fldCharType="begin"/>
      </w:r>
      <w:r>
        <w:instrText xml:space="preserve"> HYPERLINK \l "_Toc106607032" </w:instrText>
      </w:r>
      <w:r>
        <w:fldChar w:fldCharType="separate"/>
      </w:r>
      <w:r>
        <w:rPr>
          <w:rStyle w:val="19"/>
          <w:rFonts w:hint="eastAsia" w:ascii="仿宋_GB2312" w:hAnsi="仿宋_GB2312" w:eastAsia="仿宋_GB2312" w:cs="仿宋_GB2312"/>
          <w:sz w:val="24"/>
        </w:rPr>
        <w:t>（二） 存在的问题及原因分析</w:t>
      </w:r>
      <w:r>
        <w:rPr>
          <w:sz w:val="24"/>
        </w:rPr>
        <w:tab/>
      </w:r>
      <w:r>
        <w:rPr>
          <w:sz w:val="24"/>
        </w:rPr>
        <w:fldChar w:fldCharType="begin"/>
      </w:r>
      <w:r>
        <w:rPr>
          <w:sz w:val="24"/>
        </w:rPr>
        <w:instrText xml:space="preserve"> PAGEREF _Toc106607032 \h </w:instrText>
      </w:r>
      <w:r>
        <w:rPr>
          <w:sz w:val="24"/>
        </w:rPr>
        <w:fldChar w:fldCharType="separate"/>
      </w:r>
      <w:r>
        <w:rPr>
          <w:sz w:val="24"/>
        </w:rPr>
        <w:t>- 23 -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"_Toc106607033" </w:instrText>
      </w:r>
      <w:r>
        <w:fldChar w:fldCharType="separate"/>
      </w:r>
      <w:r>
        <w:rPr>
          <w:rStyle w:val="19"/>
          <w:rFonts w:hint="eastAsia" w:eastAsia="黑体"/>
          <w:bCs/>
          <w:sz w:val="24"/>
        </w:rPr>
        <w:t>九、有关建议</w:t>
      </w:r>
      <w:r>
        <w:rPr>
          <w:sz w:val="24"/>
        </w:rPr>
        <w:tab/>
      </w:r>
      <w:r>
        <w:rPr>
          <w:sz w:val="24"/>
        </w:rPr>
        <w:fldChar w:fldCharType="begin"/>
      </w:r>
      <w:r>
        <w:rPr>
          <w:sz w:val="24"/>
        </w:rPr>
        <w:instrText xml:space="preserve"> PAGEREF _Toc106607033 \h </w:instrText>
      </w:r>
      <w:r>
        <w:rPr>
          <w:sz w:val="24"/>
        </w:rPr>
        <w:fldChar w:fldCharType="separate"/>
      </w:r>
      <w:r>
        <w:rPr>
          <w:sz w:val="24"/>
        </w:rPr>
        <w:t>- 24 -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"_Toc106607034" </w:instrText>
      </w:r>
      <w:r>
        <w:fldChar w:fldCharType="separate"/>
      </w:r>
      <w:r>
        <w:rPr>
          <w:rStyle w:val="19"/>
          <w:rFonts w:hint="eastAsia" w:eastAsia="黑体"/>
          <w:bCs/>
          <w:sz w:val="24"/>
        </w:rPr>
        <w:t>十、绩效自评结果拟应用和公开情况</w:t>
      </w:r>
      <w:r>
        <w:rPr>
          <w:sz w:val="24"/>
        </w:rPr>
        <w:tab/>
      </w:r>
      <w:r>
        <w:rPr>
          <w:sz w:val="24"/>
        </w:rPr>
        <w:fldChar w:fldCharType="begin"/>
      </w:r>
      <w:r>
        <w:rPr>
          <w:sz w:val="24"/>
        </w:rPr>
        <w:instrText xml:space="preserve"> PAGEREF _Toc106607034 \h </w:instrText>
      </w:r>
      <w:r>
        <w:rPr>
          <w:sz w:val="24"/>
        </w:rPr>
        <w:fldChar w:fldCharType="separate"/>
      </w:r>
      <w:r>
        <w:rPr>
          <w:sz w:val="24"/>
        </w:rPr>
        <w:t>- 24 -</w:t>
      </w:r>
      <w:r>
        <w:rPr>
          <w:sz w:val="24"/>
        </w:rPr>
        <w:fldChar w:fldCharType="end"/>
      </w:r>
      <w:r>
        <w:rPr>
          <w:sz w:val="24"/>
        </w:rPr>
        <w:fldChar w:fldCharType="end"/>
      </w:r>
    </w:p>
    <w:p>
      <w:pPr>
        <w:pStyle w:val="12"/>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"_Toc106607035" </w:instrText>
      </w:r>
      <w:r>
        <w:fldChar w:fldCharType="separate"/>
      </w:r>
      <w:r>
        <w:rPr>
          <w:rStyle w:val="19"/>
          <w:rFonts w:hint="eastAsia" w:eastAsia="黑体"/>
          <w:bCs/>
          <w:sz w:val="24"/>
        </w:rPr>
        <w:t>十一、其他需要说明的问题</w:t>
      </w:r>
      <w:r>
        <w:rPr>
          <w:sz w:val="24"/>
        </w:rPr>
        <w:tab/>
      </w:r>
      <w:r>
        <w:rPr>
          <w:sz w:val="24"/>
        </w:rPr>
        <w:fldChar w:fldCharType="begin"/>
      </w:r>
      <w:r>
        <w:rPr>
          <w:sz w:val="24"/>
        </w:rPr>
        <w:instrText xml:space="preserve"> PAGEREF _Toc106607035 \h </w:instrText>
      </w:r>
      <w:r>
        <w:rPr>
          <w:sz w:val="24"/>
        </w:rPr>
        <w:fldChar w:fldCharType="separate"/>
      </w:r>
      <w:r>
        <w:rPr>
          <w:sz w:val="24"/>
        </w:rPr>
        <w:t>- 24 -</w:t>
      </w:r>
      <w:r>
        <w:rPr>
          <w:sz w:val="24"/>
        </w:rPr>
        <w:fldChar w:fldCharType="end"/>
      </w:r>
      <w:r>
        <w:rPr>
          <w:sz w:val="24"/>
        </w:rPr>
        <w:fldChar w:fldCharType="end"/>
      </w:r>
    </w:p>
    <w:p>
      <w:pPr>
        <w:pStyle w:val="12"/>
        <w:tabs>
          <w:tab w:val="right" w:leader="dot" w:pos="8834"/>
        </w:tabs>
        <w:spacing w:line="360" w:lineRule="auto"/>
        <w:rPr>
          <w:rFonts w:ascii="仿宋_GB2312" w:eastAsia="仿宋_GB2312"/>
          <w:sz w:val="24"/>
        </w:rPr>
        <w:sectPr>
          <w:pgSz w:w="11905" w:h="16837"/>
          <w:pgMar w:top="1418" w:right="1531" w:bottom="1985" w:left="1531" w:header="851" w:footer="1701" w:gutter="0"/>
          <w:pgNumType w:fmt="numberInDash"/>
          <w:cols w:space="720" w:num="1"/>
          <w:docGrid w:linePitch="636" w:charSpace="20838"/>
        </w:sectPr>
      </w:pPr>
      <w:r>
        <w:rPr>
          <w:rFonts w:hint="eastAsia" w:ascii="仿宋_GB2312" w:eastAsia="仿宋_GB2312"/>
          <w:sz w:val="24"/>
        </w:rPr>
        <w:fldChar w:fldCharType="end"/>
      </w:r>
    </w:p>
    <w:p>
      <w:pPr>
        <w:pStyle w:val="12"/>
        <w:tabs>
          <w:tab w:val="right" w:leader="dot" w:pos="8834"/>
        </w:tabs>
        <w:spacing w:line="74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湘西高新技术产业开发区管理委员会</w:t>
      </w:r>
    </w:p>
    <w:p>
      <w:pPr>
        <w:spacing w:line="740" w:lineRule="exact"/>
        <w:ind w:firstLine="1760" w:firstLineChars="400"/>
        <w:rPr>
          <w:rFonts w:eastAsia="方正小标宋简体" w:cs="Arial"/>
          <w:bCs/>
          <w:sz w:val="44"/>
          <w:szCs w:val="44"/>
        </w:rPr>
      </w:pPr>
      <w:r>
        <w:rPr>
          <w:rFonts w:hint="eastAsia" w:eastAsia="方正小标宋简体" w:cs="Arial"/>
          <w:bCs/>
          <w:sz w:val="44"/>
          <w:szCs w:val="44"/>
        </w:rPr>
        <w:t>部门整体支出绩效评价报告</w:t>
      </w:r>
    </w:p>
    <w:p>
      <w:pPr>
        <w:pStyle w:val="2"/>
        <w:rPr>
          <w:rFonts w:eastAsia="方正小标宋简体" w:cs="Arial"/>
          <w:bCs/>
          <w:sz w:val="44"/>
          <w:szCs w:val="44"/>
        </w:rPr>
      </w:pPr>
    </w:p>
    <w:p>
      <w:pPr>
        <w:spacing w:line="600" w:lineRule="exact"/>
        <w:ind w:firstLine="560" w:firstLineChars="200"/>
        <w:rPr>
          <w:rFonts w:eastAsia="仿宋_GB2312" w:cs="仿宋_GB2312"/>
          <w:sz w:val="28"/>
          <w:szCs w:val="28"/>
        </w:rPr>
      </w:pPr>
      <w:r>
        <w:rPr>
          <w:rFonts w:hint="eastAsia" w:eastAsia="仿宋_GB2312" w:cs="仿宋_GB2312"/>
          <w:sz w:val="28"/>
          <w:szCs w:val="28"/>
        </w:rPr>
        <w:t>为进一步规范财政资金管理，建立全方位、全过程、全覆盖的预算绩效管理体系，强化部门责任意识，切实提高财政资金使用效益，提升预算绩效管理水平，根据《中共中央国务院关于全面实施预算绩效管理的意见》（中发〔2018〕34号）《中共湖南省委办公厅 湖南省人民政府办公厅关于全面实施预算绩效管理的实施意见》（湘办发〔2019〕10号）《湖南省财政厅关于印发&lt;湖南省预算支出绩效评价管理办法&gt;的通知》（湘财绩〔2020〕7号）《湘西自治州州级预算部门整体支出绩效自评操作规程》（州财绩〔2021〕6 号）《湘西自治州财政局关于开展2021年度州直预算部门（单位）整体支出绩效自评工作的通知》（州财绩〔2022〕9号）等上级文件精神，本部门于2023年5至6月，组织力量对本部门的2021年度部门整体支出进行了绩效评价，本次评价遵循了“科学规范、公正公开、分类管理、绩效相关”的原则，运用科学、合理的绩效评价指标、评价标准和评价方法，对本部门2022年度部门整体支出绩效情况进行客观、公正的评价，现将情况汇报如下：</w:t>
      </w:r>
    </w:p>
    <w:p>
      <w:pPr>
        <w:spacing w:line="600" w:lineRule="exact"/>
        <w:ind w:firstLine="643" w:firstLineChars="200"/>
        <w:outlineLvl w:val="0"/>
        <w:rPr>
          <w:rFonts w:ascii="仿宋_GB2312" w:eastAsia="仿宋_GB2312"/>
          <w:b/>
          <w:bCs/>
          <w:sz w:val="32"/>
          <w:szCs w:val="32"/>
        </w:rPr>
      </w:pPr>
      <w:bookmarkStart w:id="0" w:name="_Toc106607013"/>
      <w:r>
        <w:rPr>
          <w:rFonts w:hint="eastAsia" w:ascii="仿宋_GB2312" w:eastAsia="仿宋_GB2312"/>
          <w:b/>
          <w:bCs/>
          <w:sz w:val="32"/>
          <w:szCs w:val="32"/>
        </w:rPr>
        <w:t>一、基本情况</w:t>
      </w:r>
      <w:bookmarkEnd w:id="0"/>
    </w:p>
    <w:p>
      <w:pPr>
        <w:spacing w:line="600" w:lineRule="exact"/>
        <w:ind w:firstLine="643" w:firstLineChars="200"/>
        <w:outlineLvl w:val="1"/>
        <w:rPr>
          <w:rFonts w:ascii="仿宋_GB2312" w:eastAsia="仿宋_GB2312" w:cs="宋体"/>
          <w:b/>
          <w:bCs/>
          <w:sz w:val="32"/>
          <w:szCs w:val="32"/>
        </w:rPr>
      </w:pPr>
      <w:bookmarkStart w:id="1" w:name="_Toc106607014"/>
      <w:r>
        <w:rPr>
          <w:rFonts w:hint="eastAsia" w:ascii="仿宋_GB2312" w:eastAsia="仿宋_GB2312"/>
          <w:b/>
          <w:bCs/>
          <w:sz w:val="32"/>
          <w:szCs w:val="32"/>
        </w:rPr>
        <w:t>（一）部门（单位）基本情</w:t>
      </w:r>
      <w:r>
        <w:rPr>
          <w:rFonts w:hint="eastAsia" w:ascii="仿宋_GB2312" w:eastAsia="仿宋_GB2312" w:cs="宋体"/>
          <w:b/>
          <w:bCs/>
          <w:sz w:val="32"/>
          <w:szCs w:val="32"/>
        </w:rPr>
        <w:t>况</w:t>
      </w:r>
      <w:bookmarkEnd w:id="1"/>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1.部门基本情况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仿宋_GB2312" w:cs="仿宋_GB2312"/>
          <w:sz w:val="28"/>
          <w:szCs w:val="28"/>
        </w:rPr>
      </w:pPr>
      <w:r>
        <w:rPr>
          <w:rFonts w:hint="eastAsia" w:eastAsia="仿宋_GB2312" w:cs="仿宋_GB2312"/>
          <w:sz w:val="28"/>
          <w:szCs w:val="28"/>
        </w:rPr>
        <w:t>湘西高新技术产业开发区管理委员会为湘西州人民政府的正处级派出机构，为全额参公事业单位，单位统一社会信用代码为124331007722867829，现地址为湘西高新产业开发区吉凤投资服务中心办公大楼，单位负责人:戴晓军。单位的主要职责是：</w:t>
      </w:r>
      <w:r>
        <w:rPr>
          <w:rFonts w:hint="eastAsia" w:ascii="Times New Roman" w:hAnsi="Times New Roman" w:eastAsia="仿宋_GB2312" w:cs="仿宋_GB2312"/>
          <w:sz w:val="28"/>
          <w:szCs w:val="28"/>
        </w:rPr>
        <w:t>负责贯彻执行党和国家关于高新区的方针政策、法律法规和决策部署</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负责研究拟订和组织实施湘西高新区重大发展战略、发展规划和工作计划</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按照湘西自治州国土空间总体规划和产业发展规划要求及相关权限，负责统筹建设发展空间布局。负责拟订湘西高新区发展规划、产业布局、产业政策、项目准入标准等重要事项并组织实施</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负责湘西高新区招商引资工作，组织对外经济技术合作与交流。负责湘西高新区基础设施、公用事业、重大项目等建设管理相关工作。负责湘西高新区优化营商环境工作，根据权限依法承担有关行政审批工作，履行行政审批服务职责。负责构建湘西高新区创新创业服务体系，做好人才引进和服务工作。负责湘西高新区的科技创新、高新技术产业管理和服务，开展有关科技创新和高新技术产业政策研究，构建技术创新服务体系。指导区内企业建立现代化企业制度，推进高新技术产业化、国际化。</w:t>
      </w:r>
      <w:r>
        <w:rPr>
          <w:rFonts w:hint="eastAsia" w:ascii="Times New Roman" w:hAnsi="Times New Roman" w:eastAsia="仿宋_GB2312" w:cs="仿宋_GB2312"/>
          <w:sz w:val="28"/>
          <w:szCs w:val="28"/>
          <w:lang w:val="en-US" w:eastAsia="zh-CN"/>
        </w:rPr>
        <w:t>负责湘西高新区党的建设，以及非公有制经济组织和社会组织党建工作。根据有关要求和职责分工，承担湘西高新区综合管理、统计、内部审计、信息、安全生产监督管理、生态环境保护、财政收支管理及国有资产管理等工作。根据授权，负责行使对湘西高新区管理范围内的自然资源、生态环境、公安、税务等派驻机构工作的指导、监督和协调。承办省委、省政府和州委、州政府交办的其他事项。</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2.机构及人员情况</w:t>
      </w:r>
    </w:p>
    <w:p>
      <w:pPr>
        <w:pStyle w:val="3"/>
        <w:spacing w:line="600" w:lineRule="exact"/>
        <w:ind w:left="0" w:firstLine="560" w:firstLineChars="200"/>
        <w:rPr>
          <w:rFonts w:eastAsia="仿宋_GB2312" w:cs="仿宋_GB2312"/>
          <w:sz w:val="28"/>
          <w:szCs w:val="28"/>
        </w:rPr>
      </w:pPr>
      <w:r>
        <w:rPr>
          <w:rFonts w:hint="eastAsia" w:eastAsia="仿宋_GB2312" w:cs="仿宋_GB2312"/>
          <w:sz w:val="28"/>
          <w:szCs w:val="28"/>
        </w:rPr>
        <w:t>本部门内设机构，下属</w:t>
      </w:r>
      <w:r>
        <w:rPr>
          <w:rFonts w:hint="eastAsia" w:eastAsia="仿宋_GB2312" w:cs="仿宋_GB2312"/>
          <w:sz w:val="28"/>
          <w:szCs w:val="28"/>
          <w:lang w:val="en-US" w:eastAsia="zh-CN"/>
        </w:rPr>
        <w:t>7</w:t>
      </w:r>
      <w:r>
        <w:rPr>
          <w:rFonts w:hint="eastAsia" w:eastAsia="仿宋_GB2312" w:cs="仿宋_GB2312"/>
          <w:sz w:val="28"/>
          <w:szCs w:val="28"/>
        </w:rPr>
        <w:t>个，其经费由湘西高新技术产业开发区管理委员会统一核算。截止2022年12月31日，本部门（含二级机构）经州编委核定的在职人员编制人数为162人，年</w:t>
      </w:r>
      <w:bookmarkStart w:id="25" w:name="_GoBack"/>
      <w:bookmarkEnd w:id="25"/>
      <w:r>
        <w:rPr>
          <w:rFonts w:hint="eastAsia" w:eastAsia="仿宋_GB2312" w:cs="仿宋_GB2312"/>
          <w:sz w:val="28"/>
          <w:szCs w:val="28"/>
        </w:rPr>
        <w:t>末实际在编人数139人。</w:t>
      </w:r>
    </w:p>
    <w:p>
      <w:pPr>
        <w:numPr>
          <w:ilvl w:val="0"/>
          <w:numId w:val="1"/>
        </w:numPr>
        <w:spacing w:line="590" w:lineRule="exact"/>
        <w:ind w:firstLine="643" w:firstLineChars="200"/>
        <w:outlineLvl w:val="1"/>
        <w:rPr>
          <w:rFonts w:ascii="仿宋_GB2312" w:eastAsia="仿宋_GB2312"/>
          <w:b/>
          <w:bCs/>
          <w:sz w:val="32"/>
          <w:szCs w:val="32"/>
        </w:rPr>
      </w:pPr>
      <w:bookmarkStart w:id="2" w:name="_Toc106607015"/>
      <w:r>
        <w:rPr>
          <w:rFonts w:hint="eastAsia" w:ascii="仿宋_GB2312" w:eastAsia="仿宋_GB2312"/>
          <w:b/>
          <w:bCs/>
          <w:sz w:val="32"/>
          <w:szCs w:val="32"/>
        </w:rPr>
        <w:t>部门（单位）年度整体支出绩效目标，专项资金绩效目标</w:t>
      </w:r>
      <w:bookmarkEnd w:id="2"/>
    </w:p>
    <w:p>
      <w:pPr>
        <w:spacing w:line="590" w:lineRule="exact"/>
        <w:ind w:left="638" w:leftChars="304"/>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1.年度部门整体支出绩效目标</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1）年度履职目标：①积极构建产业体系，着力夯实经济发展的坚实根基。②防范化解风险隐患，着力营造经济发展的稳定环境。③努力提升城市品质，积极打造宜居宜业的州府新城。④全面推进改革创新，着力激活经济发展的动力源泉。⑤强化为企服务意识，着力营造亲商护商的营商环境。</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（2）加强预算资金及资产管理，建立健全内部管理制度，规范预算资金及资产管理行为，提高预算资金及资产管理水平，确保资产安全完整，提高资金使用效益。</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3）产出指标：①重点工作完成率100%；②政府采购执行率100%；③高新企业认定争取高新企业认定15家以上；④招商引资力争引进“三类500强”企业新投资项目1个；⑤创业就业力保城镇新增就业450人，失业人员再就业170人；⑥部门预决算信息按规定及时公开；⑦在职人员控制率≦100%；⑧ “三公经费”控制率≦100%；⑨公用经费控制率≦100%。</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4）效益指标：①经济社会效益：生产总值（GDP)、固定资产投资、规模工业增加值、财政总收入同比增长8%；省外境内招商到位资金同比增长12%；技工贸收入、进出口总额同比增长10%。②可持续影响指标：优化营商环境，持续促进本地区经济发展、繁荣地方经济。</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 xml:space="preserve">（5）社会公众或服务对象满意度：90%以上。 </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 xml:space="preserve"> 2、年度部门专项资金绩效目标  </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纳入年初预算主要项目绩效目标情况：</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（1）智慧园区建设。年初预算数200万元，绩效目标：依托互联网及智慧平台，推进现代化管理。开展“互联网+”智慧平台建设，实现现代化办公、智能化管理等。</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（2）机关事务经费，年初预算金额316万元，绩效目标：确保办公大楼水电、空调等正常运转，环境卫生有序等。</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（3）环境卫生市场化营运经费，年初预算数1143.21万元，绩效目标：提高城区生活垃圾运输、道路清扫、公厕管理，完善垃圾分类回收、集中处理等。</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（4）城市公共照明电费及电力设施建设经费，年初预算数655.5万元，绩效目标：保障入区企业用电需求等。</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（5）园林绿化建设及提质、养护经费，年初预算数750.00万元，绩效目标：建设“四宜”的现代化生态新城，植物生长茂盛，绿化保存完好、干净、整洁，无明显病虫害等。</w:t>
      </w:r>
    </w:p>
    <w:p>
      <w:pPr>
        <w:autoSpaceDE w:val="0"/>
        <w:autoSpaceDN w:val="0"/>
        <w:adjustRightInd w:val="0"/>
        <w:spacing w:line="590" w:lineRule="exact"/>
        <w:ind w:firstLine="560" w:firstLineChars="200"/>
        <w:rPr>
          <w:rFonts w:eastAsia="仿宋_GB2312" w:cs="仿宋_GB2312"/>
          <w:sz w:val="28"/>
          <w:szCs w:val="28"/>
        </w:rPr>
      </w:pPr>
      <w:r>
        <w:rPr>
          <w:rFonts w:hint="eastAsia" w:eastAsia="仿宋_GB2312" w:cs="仿宋_GB2312"/>
          <w:sz w:val="28"/>
          <w:szCs w:val="28"/>
        </w:rPr>
        <w:t>（6）城市配套建设经费，年初预算数1123万元，绩效目标：确保市政设施完好、功能齐全，给市民营造一个和谐的生活氛围等。</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（7）学校建设经费，年初预算数2,000.00万元，绩效目标：完成高中建设的规划，小学扩建项目基本完成投入使用，解决区内高中教育的缺失及小学生就学难的问题等。</w:t>
      </w:r>
    </w:p>
    <w:p>
      <w:pPr>
        <w:numPr>
          <w:ilvl w:val="0"/>
          <w:numId w:val="2"/>
        </w:numPr>
        <w:spacing w:line="600" w:lineRule="exact"/>
        <w:ind w:firstLine="643" w:firstLineChars="200"/>
        <w:outlineLvl w:val="0"/>
        <w:rPr>
          <w:rFonts w:ascii="仿宋_GB2312" w:hAnsi="黑体" w:eastAsia="仿宋_GB2312" w:cs="黑体"/>
          <w:b/>
          <w:bCs/>
          <w:sz w:val="32"/>
          <w:szCs w:val="32"/>
        </w:rPr>
      </w:pPr>
      <w:bookmarkStart w:id="3" w:name="_Toc106607016"/>
      <w:r>
        <w:rPr>
          <w:rFonts w:hint="eastAsia" w:ascii="仿宋_GB2312" w:hAnsi="黑体" w:eastAsia="仿宋_GB2312" w:cs="黑体"/>
          <w:b/>
          <w:bCs/>
          <w:sz w:val="32"/>
          <w:szCs w:val="32"/>
        </w:rPr>
        <w:t>一般公共预算支出情况</w:t>
      </w:r>
      <w:bookmarkEnd w:id="3"/>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本部门2022年一般公共预算拨款收入13942.95万元（其中：基本支出拨款收入2559.24万元、项目支出拨款收入11383.42万元），加上年初结转资金3885.36（其中基本支出715.28万元、项目支出3170.01万元）；全年预算资金20020.14万元（其中：基本支出3274.52万元，项目支出16745.62万元）。一般公共预算支出合计17828.32万元（其中：基本支出3274.52万元，项目支出14553.8万元），年末结转0万元。</w:t>
      </w:r>
    </w:p>
    <w:p>
      <w:pPr>
        <w:widowControl/>
        <w:spacing w:line="600" w:lineRule="exact"/>
        <w:ind w:firstLine="561"/>
        <w:outlineLvl w:val="1"/>
        <w:rPr>
          <w:rFonts w:ascii="仿宋_GB2312" w:eastAsia="仿宋_GB2312" w:cs="仿宋_GB2312"/>
          <w:b/>
          <w:bCs/>
          <w:sz w:val="32"/>
          <w:szCs w:val="32"/>
        </w:rPr>
      </w:pPr>
      <w:bookmarkStart w:id="4" w:name="_Toc106607017"/>
      <w:r>
        <w:rPr>
          <w:rFonts w:hint="eastAsia" w:ascii="仿宋_GB2312" w:eastAsia="仿宋_GB2312" w:cs="仿宋_GB2312"/>
          <w:b/>
          <w:bCs/>
          <w:sz w:val="32"/>
          <w:szCs w:val="32"/>
        </w:rPr>
        <w:t>（一）基本支出情况</w:t>
      </w:r>
      <w:bookmarkEnd w:id="4"/>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本部门2022年度一般公共预算基本支出合计3274.52万元。其中：</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1.人员经费2993.07万元，占比达91.4%，其中工资福利支出2204.14万元，对个人和家庭补助788.93万元。</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2.公用经费281.45万元，占比8.6%，其中：商品和服务支出272.52万元，资本性支出8.93万元（其中办公设备购置8.93万元）。</w:t>
      </w:r>
    </w:p>
    <w:p>
      <w:pPr>
        <w:widowControl/>
        <w:spacing w:line="600" w:lineRule="exact"/>
        <w:ind w:firstLine="561"/>
        <w:outlineLvl w:val="1"/>
        <w:rPr>
          <w:rFonts w:ascii="仿宋_GB2312" w:eastAsia="仿宋_GB2312" w:cs="仿宋_GB2312"/>
          <w:b/>
          <w:bCs/>
          <w:sz w:val="32"/>
          <w:szCs w:val="32"/>
        </w:rPr>
      </w:pPr>
      <w:bookmarkStart w:id="5" w:name="_Toc106607018"/>
      <w:r>
        <w:rPr>
          <w:rFonts w:hint="eastAsia" w:ascii="仿宋_GB2312" w:eastAsia="仿宋_GB2312" w:cs="仿宋_GB2312"/>
          <w:b/>
          <w:bCs/>
          <w:sz w:val="32"/>
          <w:szCs w:val="32"/>
        </w:rPr>
        <w:t>（二）项目支出情况</w:t>
      </w:r>
      <w:bookmarkEnd w:id="5"/>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 xml:space="preserve">1.本部门2022年度一般公共预算项目支出财政拨款收入11383.73万元上年结转3170.09万元，全年预算数为14553.82万元；2021年度一般公共预算项目支出合计14553.82万元，年末项目支出财政拨款结转0万元,项目预算执行率为100%。变化的主要原因：各部门工作合理开展，严格按照预算执行。    </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2.纳入年初预算的主要重大项目完成情况如下：</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（1）智慧园区建设。年初预算总额200万元，上年度财政结转53.71万元，本年度财政实际拨款100.41万元, 项目实际支出154.12万元，年末无结转资金。本期支出用于“互联网+”智慧平台建设，实现现代化办公、智能化管理，各项绩效目标工作已基本完成。</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（2）机关事务经费。年初预算总额316万元，本年度财政实际拨款152.55万元，实际支出152.55万元，年末无结转资金,绩效目标：办公大楼水电、空调等正常运转，环境卫生有序已完成。</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3）环境卫生市场化营运经费。年初预算总额1143.21万元，上年度财政结转86.52万元，本年度财政实际拨款,583.32万元，本年度实际支出669.84万元，年末无结转资金。绩效目标：提高城区生活垃圾运输、道路清扫、公厕管理，完善垃圾分类回收、集中处理等工作等目标已完成。</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4）城市公共照明电费及电力设施建设经费。年初预算总额700万元，上年末结转资金11万，本年度财政实际拨款697.45万元，本年度实际支出708.45万元，年末无结转资金。绩效目标：保障入区企业用电需求，目标已完成。</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5）园林绿化建设及提质、养护经费，年初预算总额300万元，年初结转结余136.18万元，本年度财政实际拨款99.33万，实际支出235.51万元，年末无结转资金；绩效目标：建设“四宜”的现代化生态新城，植物生长茂盛，绿化保存完好、干净、整洁，无明显病虫害；无黄土裸露等已完成。</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（6）城市配套建设经费，年初预算总额923万元，本年度财政实际拨款919.59万元, 实际支出919.59万元，年末无结转资金。绩效目标：确保市政设施完好、功能齐全，给市民营造一个和谐的生活氛围，目标已完成。</w:t>
      </w: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（7）学校建设经费，年初预算总额2,000.00万元，本年度财政实际拨款2000万元，实际支出2000万元。绩效目标：完成对园区学校建设的规划和修缮，其中小学扩建项目基本完成投入使用已完成。</w:t>
      </w:r>
    </w:p>
    <w:p>
      <w:pPr>
        <w:pStyle w:val="2"/>
        <w:spacing w:afterLines="50" w:line="600" w:lineRule="exact"/>
        <w:ind w:firstLine="560" w:firstLineChars="200"/>
        <w:rPr>
          <w:rFonts w:ascii="仿宋_GB2312" w:eastAsia="仿宋_GB2312"/>
          <w:sz w:val="28"/>
          <w:szCs w:val="28"/>
        </w:rPr>
      </w:pPr>
    </w:p>
    <w:p>
      <w:pPr>
        <w:pStyle w:val="2"/>
        <w:spacing w:afterLines="50" w:line="600" w:lineRule="exact"/>
        <w:ind w:firstLine="560" w:firstLineChars="200"/>
        <w:rPr>
          <w:rFonts w:ascii="仿宋_GB2312" w:eastAsia="仿宋_GB2312"/>
          <w:sz w:val="28"/>
          <w:szCs w:val="28"/>
        </w:rPr>
      </w:pPr>
    </w:p>
    <w:p>
      <w:pPr>
        <w:pStyle w:val="2"/>
        <w:spacing w:afterLines="50" w:line="600" w:lineRule="exact"/>
        <w:ind w:firstLine="560" w:firstLineChars="200"/>
        <w:rPr>
          <w:rFonts w:ascii="仿宋_GB2312" w:eastAsia="仿宋_GB2312"/>
          <w:b/>
          <w:bCs/>
          <w:color w:val="FF0000"/>
          <w:sz w:val="28"/>
          <w:szCs w:val="28"/>
        </w:rPr>
      </w:pPr>
      <w:r>
        <w:rPr>
          <w:rFonts w:hint="eastAsia" w:ascii="仿宋_GB2312" w:eastAsia="仿宋_GB2312"/>
          <w:sz w:val="28"/>
          <w:szCs w:val="28"/>
        </w:rPr>
        <w:t>3.年度专项资金具体预算收支情况（金额单位：万元）</w:t>
      </w:r>
    </w:p>
    <w:tbl>
      <w:tblPr>
        <w:tblStyle w:val="15"/>
        <w:tblW w:w="9423" w:type="dxa"/>
        <w:tblInd w:w="108" w:type="dxa"/>
        <w:tblLayout w:type="fixed"/>
        <w:tblCellMar>
          <w:top w:w="0" w:type="dxa"/>
          <w:left w:w="108" w:type="dxa"/>
          <w:bottom w:w="0" w:type="dxa"/>
          <w:right w:w="108" w:type="dxa"/>
        </w:tblCellMar>
      </w:tblPr>
      <w:tblGrid>
        <w:gridCol w:w="993"/>
        <w:gridCol w:w="3118"/>
        <w:gridCol w:w="1087"/>
        <w:gridCol w:w="1180"/>
        <w:gridCol w:w="1016"/>
        <w:gridCol w:w="1016"/>
        <w:gridCol w:w="1013"/>
      </w:tblGrid>
      <w:tr>
        <w:tblPrEx>
          <w:tblCellMar>
            <w:top w:w="0" w:type="dxa"/>
            <w:left w:w="108" w:type="dxa"/>
            <w:bottom w:w="0" w:type="dxa"/>
            <w:right w:w="108" w:type="dxa"/>
          </w:tblCellMar>
        </w:tblPrEx>
        <w:trPr>
          <w:trHeight w:val="495" w:hRule="atLeas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cs="宋体"/>
                <w:kern w:val="0"/>
                <w:sz w:val="20"/>
                <w:szCs w:val="20"/>
              </w:rPr>
            </w:pPr>
            <w:r>
              <w:rPr>
                <w:rFonts w:hint="eastAsia" w:ascii="仿宋_GB2312" w:hAnsi="仿宋_GB2312" w:eastAsia="仿宋_GB2312" w:cs="仿宋_GB2312"/>
                <w:sz w:val="28"/>
                <w:szCs w:val="28"/>
              </w:rPr>
              <w:t>重</w:t>
            </w:r>
            <w:r>
              <w:rPr>
                <w:rFonts w:hint="eastAsia" w:ascii="宋体" w:hAnsi="宋体" w:cs="宋体"/>
                <w:kern w:val="0"/>
                <w:sz w:val="20"/>
                <w:szCs w:val="20"/>
              </w:rPr>
              <w:t>支出功能分类科目编码</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年初财政拨款结转 </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财政拨款收入 </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全年预算数 </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财政拨款支出 </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年末财政拨款结转 </w:t>
            </w: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一般公共服务支出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787.74</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2842.23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3629.97</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3629.97</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智慧园区建设（办公室）</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102.22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102.22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102.22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2019</w:t>
            </w:r>
            <w:r>
              <w:rPr>
                <w:rFonts w:hint="eastAsia" w:ascii="宋体" w:hAnsi="宋体"/>
                <w:kern w:val="0"/>
                <w:sz w:val="20"/>
                <w:szCs w:val="20"/>
              </w:rPr>
              <w:t>年度绩效文明综治奖</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0.23</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财政部门办公用房维修资金（财政局）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2010303</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办公室机关事务经费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152.55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152.55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152.55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2010303</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行政大厅建设（行政审批局）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28.75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28.75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28.75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2010303</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机关劳务派遣工资及福利</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2019</w:t>
            </w:r>
            <w:r>
              <w:rPr>
                <w:rFonts w:hint="eastAsia" w:ascii="宋体" w:hAnsi="宋体"/>
                <w:kern w:val="0"/>
                <w:sz w:val="20"/>
                <w:szCs w:val="20"/>
              </w:rPr>
              <w:t>年度绩效文明综治奖（机关及临聘）</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0.64</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0.64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0.64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购房契税补贴</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1164.34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1164.34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1164.34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管委会联络工作经费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管委会办公室目标管理经费（2019年度办公室）</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2021</w:t>
            </w:r>
            <w:r>
              <w:rPr>
                <w:rFonts w:hint="eastAsia" w:ascii="宋体" w:hAnsi="宋体"/>
                <w:kern w:val="0"/>
                <w:sz w:val="20"/>
                <w:szCs w:val="20"/>
              </w:rPr>
              <w:t>年度目标管理经费（办公室）</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2010499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营商环境奖励</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2010499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重点项目奖金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6.00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6.00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6.00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2010499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重点项目建设资金（科经）</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2.45</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2.45</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2.45</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2010502</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经发局统计经费(含经济普查）</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3.56</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3.56</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3.56</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国有企业及国有资产管理（财政局）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9.19</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9.19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9.19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国库集中支付设备、耗材及软件维护</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29.07</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29.07</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29.07</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年度国库集中支付中心工作经费</w:t>
            </w:r>
            <w:r>
              <w:rPr>
                <w:kern w:val="0"/>
                <w:sz w:val="20"/>
                <w:szCs w:val="20"/>
              </w:rPr>
              <w:t>3</w:t>
            </w:r>
            <w:r>
              <w:rPr>
                <w:rFonts w:hint="eastAsia" w:ascii="宋体" w:hAnsi="宋体"/>
                <w:kern w:val="0"/>
                <w:sz w:val="20"/>
                <w:szCs w:val="20"/>
              </w:rPr>
              <w:t>万元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州局拨付财政局乡财管理经费（2019年度）</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2010605</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国库工作经费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2010605</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国库集中支付设备、耗材及软件维护</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12.42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12.42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12.42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2010605</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2017</w:t>
            </w:r>
            <w:r>
              <w:rPr>
                <w:rFonts w:hint="eastAsia" w:ascii="宋体" w:hAnsi="宋体"/>
                <w:kern w:val="0"/>
                <w:sz w:val="20"/>
                <w:szCs w:val="20"/>
              </w:rPr>
              <w:t>年度国库工作经费</w:t>
            </w:r>
            <w:r>
              <w:rPr>
                <w:kern w:val="0"/>
                <w:sz w:val="20"/>
                <w:szCs w:val="20"/>
              </w:rPr>
              <w:t>5</w:t>
            </w:r>
            <w:r>
              <w:rPr>
                <w:rFonts w:hint="eastAsia" w:ascii="宋体" w:hAnsi="宋体"/>
                <w:kern w:val="0"/>
                <w:sz w:val="20"/>
                <w:szCs w:val="20"/>
              </w:rPr>
              <w:t>万元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3.17</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3.17</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3.17</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2010605</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年度县市财政决算工作总会计业务经费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2010608</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财政投资评审及绩效评价（财政局）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282.17</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113.57</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395.75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395.75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预算管理工作经费（2020财政）</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规划编制及项目评审（经发）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314.62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314.62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314.62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专项债劵工作经费（2020财政）</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税政法规经费（2020财政）</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非税收入征管经费（2020财政）</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余额暂存</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财政税收法制工作经费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2.24</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2.24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2.24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乡镇财政管理</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1.23</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1.23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1.23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2019</w:t>
            </w:r>
            <w:r>
              <w:rPr>
                <w:rFonts w:hint="eastAsia" w:ascii="宋体" w:hAnsi="宋体"/>
                <w:kern w:val="0"/>
                <w:sz w:val="20"/>
                <w:szCs w:val="20"/>
              </w:rPr>
              <w:t>年度财政信息化建设工作经费</w:t>
            </w:r>
            <w:r>
              <w:rPr>
                <w:kern w:val="0"/>
                <w:sz w:val="20"/>
                <w:szCs w:val="20"/>
              </w:rPr>
              <w:t>2</w:t>
            </w:r>
            <w:r>
              <w:rPr>
                <w:rFonts w:hint="eastAsia" w:ascii="宋体" w:hAnsi="宋体"/>
                <w:kern w:val="0"/>
                <w:sz w:val="20"/>
                <w:szCs w:val="20"/>
              </w:rPr>
              <w:t>万元</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年度政府采购制度改革绩效工作经费（共</w:t>
            </w:r>
            <w:r>
              <w:rPr>
                <w:kern w:val="0"/>
                <w:sz w:val="20"/>
                <w:szCs w:val="20"/>
              </w:rPr>
              <w:t>3</w:t>
            </w:r>
            <w:r>
              <w:rPr>
                <w:rFonts w:hint="eastAsia" w:ascii="宋体" w:hAnsi="宋体"/>
                <w:kern w:val="0"/>
                <w:sz w:val="20"/>
                <w:szCs w:val="20"/>
              </w:rPr>
              <w:t>笔</w:t>
            </w:r>
            <w:r>
              <w:rPr>
                <w:kern w:val="0"/>
                <w:sz w:val="20"/>
                <w:szCs w:val="20"/>
              </w:rPr>
              <w:t>8</w:t>
            </w:r>
            <w:r>
              <w:rPr>
                <w:rFonts w:hint="eastAsia" w:ascii="宋体" w:hAnsi="宋体"/>
                <w:kern w:val="0"/>
                <w:sz w:val="20"/>
                <w:szCs w:val="20"/>
              </w:rPr>
              <w:t>万元）</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8.00</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8.00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8.00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2019</w:t>
            </w:r>
            <w:r>
              <w:rPr>
                <w:rFonts w:hint="eastAsia" w:ascii="宋体" w:hAnsi="宋体"/>
                <w:kern w:val="0"/>
                <w:sz w:val="20"/>
                <w:szCs w:val="20"/>
              </w:rPr>
              <w:t>年资产管理改革工作补助经费</w:t>
            </w:r>
            <w:r>
              <w:rPr>
                <w:kern w:val="0"/>
                <w:sz w:val="20"/>
                <w:szCs w:val="20"/>
              </w:rPr>
              <w:t>2</w:t>
            </w:r>
            <w:r>
              <w:rPr>
                <w:rFonts w:hint="eastAsia" w:ascii="宋体" w:hAnsi="宋体"/>
                <w:kern w:val="0"/>
                <w:sz w:val="20"/>
                <w:szCs w:val="20"/>
              </w:rPr>
              <w:t>万元</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年行政事业单位清产核资及监管经费</w:t>
            </w:r>
            <w:r>
              <w:rPr>
                <w:kern w:val="0"/>
                <w:sz w:val="20"/>
                <w:szCs w:val="20"/>
              </w:rPr>
              <w:t>2</w:t>
            </w:r>
            <w:r>
              <w:rPr>
                <w:rFonts w:hint="eastAsia" w:ascii="宋体" w:hAnsi="宋体"/>
                <w:kern w:val="0"/>
                <w:sz w:val="20"/>
                <w:szCs w:val="20"/>
              </w:rPr>
              <w:t>万元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年行政政法监管工作经费</w:t>
            </w:r>
            <w:r>
              <w:rPr>
                <w:kern w:val="0"/>
                <w:sz w:val="20"/>
                <w:szCs w:val="20"/>
              </w:rPr>
              <w:t>3</w:t>
            </w:r>
            <w:r>
              <w:rPr>
                <w:rFonts w:hint="eastAsia" w:ascii="宋体" w:hAnsi="宋体"/>
                <w:kern w:val="0"/>
                <w:sz w:val="20"/>
                <w:szCs w:val="20"/>
              </w:rPr>
              <w:t>万元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年经开区财政投资评审工作经费（</w:t>
            </w:r>
            <w:r>
              <w:rPr>
                <w:kern w:val="0"/>
                <w:sz w:val="20"/>
                <w:szCs w:val="20"/>
              </w:rPr>
              <w:t>2</w:t>
            </w:r>
            <w:r>
              <w:rPr>
                <w:rFonts w:hint="eastAsia" w:ascii="宋体" w:hAnsi="宋体"/>
                <w:kern w:val="0"/>
                <w:sz w:val="20"/>
                <w:szCs w:val="20"/>
              </w:rPr>
              <w:t>笔共计</w:t>
            </w:r>
            <w:r>
              <w:rPr>
                <w:kern w:val="0"/>
                <w:sz w:val="20"/>
                <w:szCs w:val="20"/>
              </w:rPr>
              <w:t>6</w:t>
            </w:r>
            <w:r>
              <w:rPr>
                <w:rFonts w:hint="eastAsia" w:ascii="宋体" w:hAnsi="宋体"/>
                <w:kern w:val="0"/>
                <w:sz w:val="20"/>
                <w:szCs w:val="20"/>
              </w:rPr>
              <w:t>万元）</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6.00</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6.00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6.00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年社保工作经费</w:t>
            </w:r>
            <w:r>
              <w:rPr>
                <w:kern w:val="0"/>
                <w:sz w:val="20"/>
                <w:szCs w:val="20"/>
              </w:rPr>
              <w:t>2</w:t>
            </w:r>
            <w:r>
              <w:rPr>
                <w:rFonts w:hint="eastAsia" w:ascii="宋体" w:hAnsi="宋体"/>
                <w:kern w:val="0"/>
                <w:sz w:val="20"/>
                <w:szCs w:val="20"/>
              </w:rPr>
              <w:t>万元</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年预算绩效管理工作经费</w:t>
            </w:r>
            <w:r>
              <w:rPr>
                <w:kern w:val="0"/>
                <w:sz w:val="20"/>
                <w:szCs w:val="20"/>
              </w:rPr>
              <w:t>3</w:t>
            </w:r>
            <w:r>
              <w:rPr>
                <w:rFonts w:hint="eastAsia" w:ascii="宋体" w:hAnsi="宋体"/>
                <w:kern w:val="0"/>
                <w:sz w:val="20"/>
                <w:szCs w:val="20"/>
              </w:rPr>
              <w:t>万元</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年预算编制及预算执行工作经费</w:t>
            </w:r>
            <w:r>
              <w:rPr>
                <w:kern w:val="0"/>
                <w:sz w:val="20"/>
                <w:szCs w:val="20"/>
              </w:rPr>
              <w:t>3</w:t>
            </w:r>
            <w:r>
              <w:rPr>
                <w:rFonts w:hint="eastAsia" w:ascii="宋体" w:hAnsi="宋体"/>
                <w:kern w:val="0"/>
                <w:sz w:val="20"/>
                <w:szCs w:val="20"/>
              </w:rPr>
              <w:t>万元</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2.49</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2.49</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2.49</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年税政法制工作经费</w:t>
            </w:r>
            <w:r>
              <w:rPr>
                <w:kern w:val="0"/>
                <w:sz w:val="20"/>
                <w:szCs w:val="20"/>
              </w:rPr>
              <w:t>3</w:t>
            </w:r>
            <w:r>
              <w:rPr>
                <w:rFonts w:hint="eastAsia" w:ascii="宋体" w:hAnsi="宋体"/>
                <w:kern w:val="0"/>
                <w:sz w:val="20"/>
                <w:szCs w:val="20"/>
              </w:rPr>
              <w:t>万元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年财政局监督检查经费</w:t>
            </w:r>
            <w:r>
              <w:rPr>
                <w:kern w:val="0"/>
                <w:sz w:val="20"/>
                <w:szCs w:val="20"/>
              </w:rPr>
              <w:t>3</w:t>
            </w:r>
            <w:r>
              <w:rPr>
                <w:rFonts w:hint="eastAsia" w:ascii="宋体" w:hAnsi="宋体"/>
                <w:kern w:val="0"/>
                <w:sz w:val="20"/>
                <w:szCs w:val="20"/>
              </w:rPr>
              <w:t>万元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年资产管理改革工作经费</w:t>
            </w:r>
            <w:r>
              <w:rPr>
                <w:kern w:val="0"/>
                <w:sz w:val="20"/>
                <w:szCs w:val="20"/>
              </w:rPr>
              <w:t>2</w:t>
            </w:r>
            <w:r>
              <w:rPr>
                <w:rFonts w:hint="eastAsia" w:ascii="宋体" w:hAnsi="宋体"/>
                <w:kern w:val="0"/>
                <w:sz w:val="20"/>
                <w:szCs w:val="20"/>
              </w:rPr>
              <w:t>万元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1.82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1.82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1.82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州局拨付财政局税政法规工作经费（2019）</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州局拨付财政局政府采购工作经费（2019）</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预算绩效管理工作经费（2021）</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0.26</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0.26</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2010799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五好园区经费（办公室）</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7.79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7.79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7.79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2011102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纪检专项及巡查经费（纪工委)</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5.40</w:t>
            </w:r>
          </w:p>
        </w:tc>
        <w:tc>
          <w:tcPr>
            <w:tcW w:w="1016" w:type="dxa"/>
            <w:tcBorders>
              <w:top w:val="nil"/>
              <w:left w:val="nil"/>
              <w:bottom w:val="single" w:color="000000" w:sz="8" w:space="0"/>
              <w:right w:val="single" w:color="000000" w:sz="8" w:space="0"/>
            </w:tcBorders>
            <w:shd w:val="clear" w:color="auto" w:fill="auto"/>
            <w:vAlign w:val="center"/>
          </w:tcPr>
          <w:p>
            <w:pPr>
              <w:widowControl/>
              <w:ind w:right="100"/>
              <w:jc w:val="right"/>
              <w:rPr>
                <w:kern w:val="0"/>
                <w:sz w:val="20"/>
                <w:szCs w:val="20"/>
              </w:rPr>
            </w:pPr>
            <w:r>
              <w:rPr>
                <w:rFonts w:hint="eastAsia"/>
                <w:kern w:val="0"/>
                <w:sz w:val="20"/>
                <w:szCs w:val="20"/>
              </w:rPr>
              <w:t>5.40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2011102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宣传教育及办案经费（纪工委）</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1.55</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3.78</w:t>
            </w:r>
          </w:p>
        </w:tc>
        <w:tc>
          <w:tcPr>
            <w:tcW w:w="1016" w:type="dxa"/>
            <w:tcBorders>
              <w:top w:val="nil"/>
              <w:left w:val="nil"/>
              <w:bottom w:val="single" w:color="000000" w:sz="8" w:space="0"/>
              <w:right w:val="single" w:color="000000" w:sz="8" w:space="0"/>
            </w:tcBorders>
            <w:shd w:val="clear" w:color="auto" w:fill="auto"/>
            <w:vAlign w:val="center"/>
          </w:tcPr>
          <w:p>
            <w:pPr>
              <w:widowControl/>
              <w:ind w:right="100"/>
              <w:jc w:val="right"/>
              <w:rPr>
                <w:kern w:val="0"/>
                <w:sz w:val="20"/>
                <w:szCs w:val="20"/>
              </w:rPr>
            </w:pPr>
            <w:r>
              <w:rPr>
                <w:rFonts w:hint="eastAsia"/>
                <w:kern w:val="0"/>
                <w:sz w:val="20"/>
                <w:szCs w:val="20"/>
              </w:rPr>
              <w:t>5.33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5.33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2011308</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招商引资资金(商务局）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4.89</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179.06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183.95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183.95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2011308</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商务局招商资金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67.00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67.00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67.00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2011308</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2019</w:t>
            </w:r>
            <w:r>
              <w:rPr>
                <w:rFonts w:hint="eastAsia" w:ascii="宋体" w:hAnsi="宋体"/>
                <w:kern w:val="0"/>
                <w:sz w:val="20"/>
                <w:szCs w:val="20"/>
              </w:rPr>
              <w:t>年度商务局招商引资奖金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3.6</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3.6</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2011399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招商引资奖励资金（商务）</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0.84</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10.84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10.84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2012302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民族宗教（含两民贴息）</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18.37</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18.37</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18.37</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2012902</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地方妇联专项经费</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9.81</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9.81</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9.81</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2012902</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共青团活动经费（团委）</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14.81</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14.81</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14.81</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2012906</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慰问活动经费（工会）</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96.00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96.00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96.00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2012999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基层建设经费（团委）</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100"/>
              <w:jc w:val="right"/>
              <w:rPr>
                <w:kern w:val="0"/>
                <w:sz w:val="20"/>
                <w:szCs w:val="20"/>
              </w:rPr>
            </w:pPr>
            <w:r>
              <w:rPr>
                <w:rFonts w:hint="eastAsia"/>
                <w:kern w:val="0"/>
                <w:sz w:val="20"/>
                <w:szCs w:val="20"/>
              </w:rPr>
              <w:t>1.68</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1.68</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1.68</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2013102</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会议费</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0.45</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0.45</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0.45</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2013102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会议费（办公室）</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32.2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0.99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33.19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33.19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2013202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统战民盟（组织部）</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2013202</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关心下一代</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4.41</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4.41</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4.41</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2013202</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党建、组织、人事编制、武装</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7.21</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19.68</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26.89</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26.89</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2013302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宣传文明创建经费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4.36</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342.58</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346.94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346.94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2013602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信访维稳综治经费平安建设（政法部）</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1.38</w:t>
            </w:r>
          </w:p>
        </w:tc>
        <w:tc>
          <w:tcPr>
            <w:tcW w:w="1180" w:type="dxa"/>
            <w:tcBorders>
              <w:top w:val="nil"/>
              <w:left w:val="nil"/>
              <w:bottom w:val="single" w:color="000000" w:sz="8" w:space="0"/>
              <w:right w:val="single" w:color="000000" w:sz="8" w:space="0"/>
            </w:tcBorders>
            <w:shd w:val="clear" w:color="auto" w:fill="auto"/>
            <w:vAlign w:val="center"/>
          </w:tcPr>
          <w:p>
            <w:pPr>
              <w:widowControl/>
              <w:ind w:right="100"/>
              <w:jc w:val="right"/>
              <w:rPr>
                <w:kern w:val="0"/>
                <w:sz w:val="20"/>
                <w:szCs w:val="20"/>
              </w:rPr>
            </w:pPr>
            <w:r>
              <w:rPr>
                <w:rFonts w:hint="eastAsia"/>
                <w:kern w:val="0"/>
                <w:sz w:val="20"/>
                <w:szCs w:val="20"/>
              </w:rPr>
              <w:t>54.95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56.33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56.33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2013602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扫黑除恶（政法部）</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2013602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律师服务、法制宣传（政法部）</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7.20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7.20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7.20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2013602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政法专项经费（政法部）</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0.60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0.60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0.60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2013899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全州新创质量品牌奖励经费（经发）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2019999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州政府目标管理奖</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2019999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2020五个文明绩效奖励</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17.00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17.00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17.00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kern w:val="0"/>
                <w:sz w:val="20"/>
                <w:szCs w:val="20"/>
              </w:rPr>
            </w:pPr>
            <w:r>
              <w:rPr>
                <w:rFonts w:hint="eastAsia"/>
                <w:b/>
                <w:kern w:val="0"/>
                <w:sz w:val="20"/>
                <w:szCs w:val="20"/>
              </w:rPr>
              <w:t>204</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公共安全支出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kern w:val="0"/>
                <w:sz w:val="20"/>
                <w:szCs w:val="20"/>
              </w:rPr>
            </w:pPr>
            <w:r>
              <w:rPr>
                <w:rFonts w:hint="eastAsia"/>
                <w:b/>
                <w:kern w:val="0"/>
                <w:sz w:val="20"/>
                <w:szCs w:val="20"/>
              </w:rPr>
              <w:t>770.93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kern w:val="0"/>
                <w:sz w:val="20"/>
                <w:szCs w:val="20"/>
              </w:rPr>
            </w:pPr>
            <w:r>
              <w:rPr>
                <w:rFonts w:hint="eastAsia"/>
                <w:b/>
                <w:kern w:val="0"/>
                <w:sz w:val="20"/>
                <w:szCs w:val="20"/>
              </w:rPr>
              <w:t>770.93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kern w:val="0"/>
                <w:sz w:val="20"/>
                <w:szCs w:val="20"/>
              </w:rPr>
            </w:pPr>
            <w:r>
              <w:rPr>
                <w:rFonts w:hint="eastAsia"/>
                <w:b/>
                <w:kern w:val="0"/>
                <w:sz w:val="20"/>
                <w:szCs w:val="20"/>
              </w:rPr>
              <w:t>770.93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2040299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机关劳务派遣人员工资及福利</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770.93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770.93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770.93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205</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教育支出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3.28</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3534.03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3537.31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3537.31</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2050199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教育慰问及扶贫（文教卫）</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54.39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54.39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54.39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2050</w:t>
            </w:r>
            <w:r>
              <w:rPr>
                <w:rFonts w:hint="eastAsia"/>
                <w:kern w:val="0"/>
                <w:sz w:val="20"/>
                <w:szCs w:val="20"/>
              </w:rPr>
              <w:t>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园区学校项目建设经费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w:t>
            </w:r>
            <w:r>
              <w:rPr>
                <w:rFonts w:hint="eastAsia"/>
                <w:kern w:val="0"/>
                <w:sz w:val="20"/>
                <w:szCs w:val="20"/>
              </w:rPr>
              <w:t>0</w:t>
            </w:r>
            <w:r>
              <w:rPr>
                <w:kern w:val="0"/>
                <w:sz w:val="20"/>
                <w:szCs w:val="20"/>
              </w:rPr>
              <w:t>00.00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w:t>
            </w:r>
            <w:r>
              <w:rPr>
                <w:rFonts w:hint="eastAsia"/>
                <w:kern w:val="0"/>
                <w:sz w:val="20"/>
                <w:szCs w:val="20"/>
              </w:rPr>
              <w:t>0</w:t>
            </w:r>
            <w:r>
              <w:rPr>
                <w:kern w:val="0"/>
                <w:sz w:val="20"/>
                <w:szCs w:val="20"/>
              </w:rPr>
              <w:t>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205020</w:t>
            </w:r>
            <w:r>
              <w:rPr>
                <w:rFonts w:hint="eastAsia"/>
                <w:kern w:val="0"/>
                <w:sz w:val="20"/>
                <w:szCs w:val="20"/>
              </w:rPr>
              <w:t>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老师购买服务</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68.85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68.85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68.85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2050202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老师购买服务</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264.00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264.00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264.00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2050202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城市配套建设支出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146.79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146.79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146.79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2050299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园区学校项目建设经费</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w:t>
            </w:r>
            <w:r>
              <w:rPr>
                <w:rFonts w:hint="eastAsia"/>
                <w:kern w:val="0"/>
                <w:sz w:val="20"/>
                <w:szCs w:val="20"/>
              </w:rPr>
              <w:t>0</w:t>
            </w:r>
            <w:r>
              <w:rPr>
                <w:kern w:val="0"/>
                <w:sz w:val="20"/>
                <w:szCs w:val="20"/>
              </w:rPr>
              <w:t>0.00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w:t>
            </w:r>
            <w:r>
              <w:rPr>
                <w:rFonts w:hint="eastAsia"/>
                <w:kern w:val="0"/>
                <w:sz w:val="20"/>
                <w:szCs w:val="20"/>
              </w:rPr>
              <w:t>0</w:t>
            </w:r>
            <w:r>
              <w:rPr>
                <w:kern w:val="0"/>
                <w:sz w:val="20"/>
                <w:szCs w:val="20"/>
              </w:rPr>
              <w:t>00.00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r>
              <w:rPr>
                <w:rFonts w:hint="eastAsia"/>
                <w:kern w:val="0"/>
                <w:sz w:val="20"/>
                <w:szCs w:val="20"/>
              </w:rPr>
              <w:t>0</w:t>
            </w:r>
            <w:r>
              <w:rPr>
                <w:kern w:val="0"/>
                <w:sz w:val="20"/>
                <w:szCs w:val="20"/>
              </w:rPr>
              <w:t>.00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2050499</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中华会计函授学校补助经费2万元</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2050899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人才强区储备金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1.28</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1.28</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1.28</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206</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科学技术支出</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72.93</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171.13</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244.06</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244.06</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100"/>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2060102</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施工图审查</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8.64</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8.64</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8.64</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2060199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智慧园区建设（办公室）</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53.71</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100.41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154.12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154.12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2060199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创国家级高新区（经发局）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10.58</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4.72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15.30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15.3</w:t>
            </w:r>
            <w:r>
              <w:rPr>
                <w:kern w:val="0"/>
                <w:sz w:val="20"/>
                <w:szCs w:val="20"/>
              </w:rPr>
              <w:t>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2060199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重点项目建设奖励资金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2069999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州科经局专项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2069999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潇湘要素大市场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2069999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规划编制及项目评审</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207</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文化旅游体育与传媒支出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7.53</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29.21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36.74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36.74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2070109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民族文化传承</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0.30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0.30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0.30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2070199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文化宣传及群众文化活动</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1.62</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29.21</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right="100"/>
              <w:jc w:val="right"/>
              <w:rPr>
                <w:kern w:val="0"/>
                <w:sz w:val="20"/>
                <w:szCs w:val="20"/>
              </w:rPr>
            </w:pPr>
            <w:r>
              <w:rPr>
                <w:rFonts w:hint="eastAsia"/>
                <w:kern w:val="0"/>
                <w:sz w:val="20"/>
                <w:szCs w:val="20"/>
              </w:rPr>
              <w:t>30.83</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30.83</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2079999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第一批文化宣传产业发展资金（文教卫）</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5.61</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5.61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5.61</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208</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社会保障和就业支出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56.62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856.14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912.76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912.76</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2080102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人社工作经费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9.76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9.76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9.76</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2080199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创新创业经费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1.08</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1.08</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1.08</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2080202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民政工作经费(社会事务局）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54.22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54.22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54.22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2080202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春节慰问</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0.70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0.70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0.70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2080299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春节慰问</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4.22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4.22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4.22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2080299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民政工作经费(社会事务局）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0.20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0.20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0.20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2080799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州人社拨付社会事务局就业资金</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780.4</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780.4</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780.4</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2080799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上年结转就业资金</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4.42</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4.42</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4.42</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w:t>
            </w:r>
            <w:r>
              <w:rPr>
                <w:rFonts w:hint="eastAsia"/>
                <w:kern w:val="0"/>
                <w:sz w:val="20"/>
                <w:szCs w:val="20"/>
              </w:rPr>
              <w:t>1199</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残疾人保障金</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3.68</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3.68</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3.68</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2082802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退役军人事务（社会事务局）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2089999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社会救助金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47.08</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47.08</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47.08</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210</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卫生健康支出</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1611.71</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992.24</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2603.96</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2603.96</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2100199</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卫生防疫及义务献血营养补助</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166.35</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166.35</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166.35</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2100301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卫生防疫及义务献血营养补助</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2100301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卫生服务中心运转经费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331.79</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185.89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517.69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517.69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2100301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药品、医疗设备、材料、耗材等（卫生服务中心）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83.14</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83.14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83.14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2100301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开办费（卫生服务中心）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10.22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10.22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10.22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卫生服务中心办公楼购置(卫生服务中心）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1,125.56</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1,125.56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1,125.56</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2100408</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卫生服务中心运转经费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2100499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卫生防疫及义务献血营养补助</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300.00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300.00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300.00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2101202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新农合资金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59.00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59.00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59.00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2109999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州局拨付财政局社保工作经费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211</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节能环保支出</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223.03</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877.2</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1100.23</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1100.23</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2110102</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生态环境保护宣传(环保局）</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82.01</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82.01</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82.01</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2110</w:t>
            </w:r>
            <w:r>
              <w:rPr>
                <w:rFonts w:hint="eastAsia"/>
                <w:kern w:val="0"/>
                <w:sz w:val="20"/>
                <w:szCs w:val="20"/>
              </w:rPr>
              <w:t>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生态环境监测与信息（环保局）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2110301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生态环境监测与信息（环保局）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92.54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92.54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92.54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2110402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城市配套建设及公共设施维护改造</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0.23</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0.23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2110402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园林养护服务及绿化提质</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136.18</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99.33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235.51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235.51</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2110402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冲洗平台经费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0.10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0.10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0.10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2110402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环境卫生市场营运经费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86.52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583.32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669.84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669.84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212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城乡社区支出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102.9</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1968.66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2071.56</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2071.56</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2120201</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住建专项经费</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8.64</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46.17</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54.81</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54.81</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2120201</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施工图审查</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69.30</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69.30</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69.30</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2120303</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城市配套建设及公共设施维护改造</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ind w:right="200"/>
              <w:jc w:val="right"/>
              <w:rPr>
                <w:kern w:val="0"/>
                <w:sz w:val="20"/>
                <w:szCs w:val="20"/>
              </w:rPr>
            </w:pPr>
            <w:r>
              <w:rPr>
                <w:rFonts w:hint="eastAsia"/>
                <w:kern w:val="0"/>
                <w:sz w:val="20"/>
                <w:szCs w:val="20"/>
              </w:rPr>
              <w:t>919.59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919.59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919.59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2120303</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春节氛围营造</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ind w:right="200"/>
              <w:jc w:val="right"/>
              <w:rPr>
                <w:kern w:val="0"/>
                <w:sz w:val="20"/>
                <w:szCs w:val="20"/>
              </w:rPr>
            </w:pPr>
            <w:r>
              <w:rPr>
                <w:rFonts w:hint="eastAsia"/>
                <w:kern w:val="0"/>
                <w:sz w:val="20"/>
                <w:szCs w:val="20"/>
              </w:rPr>
              <w:t>2.30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2.30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2.30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2120303</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第三批结转专项补助经费（财政局)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城市配套建设及市政公共设施维护改造（公用事业中心）</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100.94</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100.94</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100.94</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w:t>
            </w:r>
            <w:r>
              <w:rPr>
                <w:rFonts w:hint="eastAsia"/>
                <w:kern w:val="0"/>
                <w:sz w:val="20"/>
                <w:szCs w:val="20"/>
              </w:rPr>
              <w:t>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春节氛围营造</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47.90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47.90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47.90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2120399</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白改黑项目</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7.14</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7.14</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7.14</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电力设施建设及城市照明费用</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11.00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697.45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708.45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708.45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旅游发展星际厕所资金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0.05</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0.05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0.05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2120399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创新创业大厦装修经费（社会事务局）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50.00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2120501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清扫保洁费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4.49</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4.49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4.49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2120501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环卫设施购置运行及垃圾处理</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19.58</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19.58</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19.58</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2121301</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rFonts w:hint="eastAsia" w:ascii="宋体" w:hAnsi="宋体" w:cs="宋体"/>
                <w:kern w:val="0"/>
                <w:sz w:val="20"/>
                <w:szCs w:val="20"/>
              </w:rPr>
              <w:t>城市配套建设及公共设施维护改造</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85.01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85.01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85.01</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213</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农林水支出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6.47</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65.18</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71.65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71.65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2130199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劳模补助金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0.1</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2130299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林业工作经费</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46.12</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46.12</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46.12</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2130399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水利工作河长制经费</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10.96</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10.96</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10.96</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2130799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州局拨付财政局乡财管理经费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1.00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2130799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年乡财管理工作经费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2139999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林业工作经费</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8.00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2139999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财政农业项目前期工作经费</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1.42</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1.42</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1.42</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98"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2139999</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年州本级财政农业项目经费</w:t>
            </w:r>
            <w:r>
              <w:rPr>
                <w:kern w:val="0"/>
                <w:sz w:val="20"/>
                <w:szCs w:val="20"/>
              </w:rPr>
              <w:t>2</w:t>
            </w:r>
            <w:r>
              <w:rPr>
                <w:rFonts w:hint="eastAsia" w:ascii="宋体" w:hAnsi="宋体"/>
                <w:kern w:val="0"/>
                <w:sz w:val="20"/>
                <w:szCs w:val="20"/>
              </w:rPr>
              <w:t>万元</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2.00</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2139999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2020</w:t>
            </w:r>
            <w:r>
              <w:rPr>
                <w:rFonts w:hint="eastAsia" w:ascii="宋体" w:hAnsi="宋体"/>
                <w:kern w:val="0"/>
                <w:sz w:val="20"/>
                <w:szCs w:val="20"/>
              </w:rPr>
              <w:t>禁捕退捕专项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0.05</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0.05</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0.05</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215</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资源勘探工业信息等支出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276.09</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67.03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343.12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343.12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2150502</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统计经费（含经济普查）</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29.73</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29.73</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29.73</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2150502</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规划编制及项目评审经费（经科）</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37.30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37.30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37.30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2150502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创国家级高新区（经发局）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2.12</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2.12</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2.12</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2150899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卫生服务中心</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270.47</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270.47</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270.47</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2159999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年财企工作经费</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2159999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企业培育资金（科经）</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0.50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0.50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0.50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216</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商业服务业等支出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6.24</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22.49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28.73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28.73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rFonts w:hint="eastAsia"/>
                <w:kern w:val="0"/>
                <w:sz w:val="20"/>
                <w:szCs w:val="20"/>
              </w:rPr>
              <w:t>2160299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商贸流通培育资金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7.20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7.20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7.20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2160699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招商引资</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15.29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15.29</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15.29</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2160699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余额暂存</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2.60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2.60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2.60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2160699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2018</w:t>
            </w:r>
            <w:r>
              <w:rPr>
                <w:rFonts w:hint="eastAsia" w:ascii="宋体" w:hAnsi="宋体"/>
                <w:kern w:val="0"/>
                <w:sz w:val="20"/>
                <w:szCs w:val="20"/>
              </w:rPr>
              <w:t>年度湖南省服务贸易发展资金（商务）</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2160699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2019</w:t>
            </w:r>
            <w:r>
              <w:rPr>
                <w:rFonts w:hint="eastAsia" w:ascii="宋体" w:hAnsi="宋体"/>
                <w:kern w:val="0"/>
                <w:sz w:val="20"/>
                <w:szCs w:val="20"/>
              </w:rPr>
              <w:t>年度商务局招商引资奖金（州商务局拨付）</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0.64</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0.64</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0.64</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217</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金融支出</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b/>
                <w:bCs/>
                <w:kern w:val="0"/>
                <w:sz w:val="20"/>
                <w:szCs w:val="20"/>
              </w:rPr>
              <w:t>5.00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b/>
                <w:bCs/>
                <w:kern w:val="0"/>
                <w:sz w:val="20"/>
                <w:szCs w:val="20"/>
              </w:rPr>
              <w:t>5.00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b/>
                <w:bCs/>
                <w:kern w:val="0"/>
                <w:sz w:val="20"/>
                <w:szCs w:val="20"/>
              </w:rPr>
              <w:t>5.00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2170102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金融办专项经费（财政局）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5.00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221</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住房保障支出</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b/>
                <w:bCs/>
                <w:kern w:val="0"/>
                <w:sz w:val="20"/>
                <w:szCs w:val="20"/>
              </w:rPr>
              <w:t>3.00</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b/>
                <w:bCs/>
                <w:kern w:val="0"/>
                <w:sz w:val="20"/>
                <w:szCs w:val="20"/>
              </w:rPr>
              <w:t>3.00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r>
              <w:rPr>
                <w:b/>
                <w:bCs/>
                <w:kern w:val="0"/>
                <w:sz w:val="20"/>
                <w:szCs w:val="20"/>
              </w:rPr>
              <w:t>3.00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2210199</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州局拨付财政局综合工作经费</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b/>
                <w:bCs/>
                <w:kern w:val="0"/>
                <w:sz w:val="20"/>
                <w:szCs w:val="20"/>
              </w:rPr>
            </w:pPr>
            <w:r>
              <w:rPr>
                <w:b/>
                <w:bCs/>
                <w:kern w:val="0"/>
                <w:sz w:val="20"/>
                <w:szCs w:val="20"/>
              </w:rPr>
              <w:t>224</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灾害防治及应急管理支出</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12.87</w:t>
            </w: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79.45</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92.32</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b/>
                <w:bCs/>
                <w:kern w:val="0"/>
                <w:sz w:val="20"/>
                <w:szCs w:val="20"/>
              </w:rPr>
            </w:pPr>
            <w:r>
              <w:rPr>
                <w:rFonts w:hint="eastAsia"/>
                <w:b/>
                <w:bCs/>
                <w:kern w:val="0"/>
                <w:sz w:val="20"/>
                <w:szCs w:val="20"/>
              </w:rPr>
              <w:t>92.32</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b/>
                <w:bCs/>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2240102</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安全生产专项经费（应急管理局）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25.81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25.81</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25.81</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2240106</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安全生产管理（安监局）</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0.14</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0.14</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0.14</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224010</w:t>
            </w:r>
            <w:r>
              <w:rPr>
                <w:rFonts w:hint="eastAsia"/>
                <w:kern w:val="0"/>
                <w:sz w:val="20"/>
                <w:szCs w:val="20"/>
              </w:rPr>
              <w:t>8</w:t>
            </w:r>
          </w:p>
        </w:tc>
        <w:tc>
          <w:tcPr>
            <w:tcW w:w="311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防汛救灾</w:t>
            </w:r>
          </w:p>
        </w:tc>
        <w:tc>
          <w:tcPr>
            <w:tcW w:w="10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2240199</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应急事件处置</w:t>
            </w:r>
          </w:p>
        </w:tc>
        <w:tc>
          <w:tcPr>
            <w:tcW w:w="1087"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31.64</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31.64</w:t>
            </w:r>
          </w:p>
        </w:tc>
        <w:tc>
          <w:tcPr>
            <w:tcW w:w="1016"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31.64</w:t>
            </w:r>
          </w:p>
        </w:tc>
        <w:tc>
          <w:tcPr>
            <w:tcW w:w="1013"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2240199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2019</w:t>
            </w:r>
            <w:r>
              <w:rPr>
                <w:rFonts w:hint="eastAsia" w:ascii="宋体" w:hAnsi="宋体"/>
                <w:kern w:val="0"/>
                <w:sz w:val="20"/>
                <w:szCs w:val="20"/>
              </w:rPr>
              <w:t>年安监局安全生产</w:t>
            </w:r>
            <w:r>
              <w:rPr>
                <w:kern w:val="0"/>
                <w:sz w:val="20"/>
                <w:szCs w:val="20"/>
              </w:rPr>
              <w:t>“</w:t>
            </w:r>
            <w:r>
              <w:rPr>
                <w:rFonts w:hint="eastAsia" w:ascii="宋体" w:hAnsi="宋体"/>
                <w:kern w:val="0"/>
                <w:sz w:val="20"/>
                <w:szCs w:val="20"/>
              </w:rPr>
              <w:t>三大行动</w:t>
            </w:r>
            <w:r>
              <w:rPr>
                <w:kern w:val="0"/>
                <w:sz w:val="20"/>
                <w:szCs w:val="20"/>
              </w:rPr>
              <w:t>”</w:t>
            </w:r>
            <w:r>
              <w:rPr>
                <w:rFonts w:hint="eastAsia" w:ascii="宋体" w:hAnsi="宋体"/>
                <w:kern w:val="0"/>
                <w:sz w:val="20"/>
                <w:szCs w:val="20"/>
              </w:rPr>
              <w:t>奖励资金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3.00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2240204</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自然寨和社区公共消防设施（应急管理局）</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rFonts w:hint="eastAsia"/>
                <w:kern w:val="0"/>
                <w:sz w:val="20"/>
                <w:szCs w:val="20"/>
              </w:rPr>
              <w:t>20.0</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993" w:type="dxa"/>
            <w:tcBorders>
              <w:top w:val="nil"/>
              <w:left w:val="single" w:color="000000" w:sz="8" w:space="0"/>
              <w:bottom w:val="single" w:color="000000" w:sz="8" w:space="0"/>
              <w:right w:val="single" w:color="000000" w:sz="8" w:space="0"/>
            </w:tcBorders>
            <w:shd w:val="clear" w:color="auto" w:fill="auto"/>
            <w:vAlign w:val="center"/>
          </w:tcPr>
          <w:p>
            <w:pPr>
              <w:widowControl/>
              <w:jc w:val="left"/>
              <w:rPr>
                <w:kern w:val="0"/>
                <w:sz w:val="20"/>
                <w:szCs w:val="20"/>
              </w:rPr>
            </w:pPr>
            <w:r>
              <w:rPr>
                <w:kern w:val="0"/>
                <w:sz w:val="20"/>
                <w:szCs w:val="20"/>
              </w:rPr>
              <w:t>2240799</w:t>
            </w:r>
          </w:p>
        </w:tc>
        <w:tc>
          <w:tcPr>
            <w:tcW w:w="311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救灾资金</w:t>
            </w:r>
          </w:p>
        </w:tc>
        <w:tc>
          <w:tcPr>
            <w:tcW w:w="1087"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9.73</w:t>
            </w:r>
          </w:p>
        </w:tc>
        <w:tc>
          <w:tcPr>
            <w:tcW w:w="1180"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9.73</w:t>
            </w:r>
          </w:p>
        </w:tc>
        <w:tc>
          <w:tcPr>
            <w:tcW w:w="1016"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r>
              <w:rPr>
                <w:kern w:val="0"/>
                <w:sz w:val="20"/>
                <w:szCs w:val="20"/>
              </w:rPr>
              <w:t>9.73</w:t>
            </w:r>
          </w:p>
        </w:tc>
        <w:tc>
          <w:tcPr>
            <w:tcW w:w="1013" w:type="dxa"/>
            <w:tcBorders>
              <w:top w:val="nil"/>
              <w:left w:val="nil"/>
              <w:bottom w:val="single" w:color="000000" w:sz="8" w:space="0"/>
              <w:right w:val="single" w:color="000000" w:sz="8" w:space="0"/>
            </w:tcBorders>
            <w:shd w:val="clear" w:color="auto" w:fill="auto"/>
            <w:vAlign w:val="center"/>
          </w:tcPr>
          <w:p>
            <w:pPr>
              <w:widowControl/>
              <w:jc w:val="right"/>
              <w:rPr>
                <w:kern w:val="0"/>
                <w:sz w:val="20"/>
                <w:szCs w:val="20"/>
              </w:rPr>
            </w:pPr>
          </w:p>
        </w:tc>
      </w:tr>
      <w:tr>
        <w:tblPrEx>
          <w:tblCellMar>
            <w:top w:w="0" w:type="dxa"/>
            <w:left w:w="108" w:type="dxa"/>
            <w:bottom w:w="0" w:type="dxa"/>
            <w:right w:w="108" w:type="dxa"/>
          </w:tblCellMar>
        </w:tblPrEx>
        <w:trPr>
          <w:trHeight w:val="539" w:hRule="exact"/>
        </w:trPr>
        <w:tc>
          <w:tcPr>
            <w:tcW w:w="411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合计</w:t>
            </w:r>
          </w:p>
        </w:tc>
        <w:tc>
          <w:tcPr>
            <w:tcW w:w="1087" w:type="dxa"/>
            <w:tcBorders>
              <w:top w:val="nil"/>
              <w:left w:val="nil"/>
              <w:bottom w:val="single" w:color="000000" w:sz="8" w:space="0"/>
              <w:right w:val="single" w:color="000000" w:sz="8" w:space="0"/>
            </w:tcBorders>
            <w:shd w:val="clear" w:color="auto" w:fill="auto"/>
            <w:vAlign w:val="center"/>
          </w:tcPr>
          <w:p>
            <w:pPr>
              <w:widowControl/>
              <w:jc w:val="center"/>
              <w:rPr>
                <w:b/>
                <w:kern w:val="0"/>
                <w:sz w:val="20"/>
                <w:szCs w:val="20"/>
              </w:rPr>
            </w:pPr>
            <w:r>
              <w:rPr>
                <w:rFonts w:hint="eastAsia"/>
                <w:b/>
                <w:kern w:val="0"/>
                <w:sz w:val="20"/>
                <w:szCs w:val="20"/>
              </w:rPr>
              <w:t>3170.41</w:t>
            </w:r>
          </w:p>
        </w:tc>
        <w:tc>
          <w:tcPr>
            <w:tcW w:w="1180" w:type="dxa"/>
            <w:tcBorders>
              <w:top w:val="nil"/>
              <w:left w:val="nil"/>
              <w:bottom w:val="single" w:color="000000" w:sz="8" w:space="0"/>
              <w:right w:val="single" w:color="000000" w:sz="8" w:space="0"/>
            </w:tcBorders>
            <w:shd w:val="clear" w:color="auto" w:fill="auto"/>
            <w:vAlign w:val="center"/>
          </w:tcPr>
          <w:p>
            <w:pPr>
              <w:widowControl/>
              <w:jc w:val="center"/>
              <w:rPr>
                <w:b/>
                <w:kern w:val="0"/>
                <w:sz w:val="20"/>
                <w:szCs w:val="20"/>
              </w:rPr>
            </w:pPr>
            <w:r>
              <w:rPr>
                <w:rFonts w:hint="eastAsia"/>
                <w:b/>
                <w:kern w:val="0"/>
                <w:sz w:val="20"/>
                <w:szCs w:val="20"/>
              </w:rPr>
              <w:t>12283.92</w:t>
            </w:r>
          </w:p>
        </w:tc>
        <w:tc>
          <w:tcPr>
            <w:tcW w:w="1016" w:type="dxa"/>
            <w:tcBorders>
              <w:top w:val="nil"/>
              <w:left w:val="nil"/>
              <w:bottom w:val="single" w:color="000000" w:sz="8" w:space="0"/>
              <w:right w:val="single" w:color="000000" w:sz="8" w:space="0"/>
            </w:tcBorders>
            <w:shd w:val="clear" w:color="auto" w:fill="auto"/>
            <w:vAlign w:val="center"/>
          </w:tcPr>
          <w:p>
            <w:pPr>
              <w:widowControl/>
              <w:jc w:val="center"/>
              <w:rPr>
                <w:b/>
                <w:kern w:val="0"/>
                <w:sz w:val="20"/>
                <w:szCs w:val="20"/>
              </w:rPr>
            </w:pPr>
            <w:r>
              <w:rPr>
                <w:rFonts w:hint="eastAsia"/>
                <w:b/>
                <w:kern w:val="0"/>
                <w:sz w:val="20"/>
                <w:szCs w:val="20"/>
              </w:rPr>
              <w:t>15454.33</w:t>
            </w:r>
          </w:p>
        </w:tc>
        <w:tc>
          <w:tcPr>
            <w:tcW w:w="1016" w:type="dxa"/>
            <w:tcBorders>
              <w:top w:val="nil"/>
              <w:left w:val="nil"/>
              <w:bottom w:val="single" w:color="000000" w:sz="8" w:space="0"/>
              <w:right w:val="single" w:color="000000" w:sz="8" w:space="0"/>
            </w:tcBorders>
            <w:shd w:val="clear" w:color="auto" w:fill="auto"/>
            <w:vAlign w:val="center"/>
          </w:tcPr>
          <w:p>
            <w:pPr>
              <w:widowControl/>
              <w:jc w:val="center"/>
              <w:rPr>
                <w:b/>
                <w:kern w:val="0"/>
                <w:sz w:val="20"/>
                <w:szCs w:val="20"/>
              </w:rPr>
            </w:pPr>
            <w:r>
              <w:rPr>
                <w:rFonts w:hint="eastAsia"/>
                <w:b/>
                <w:kern w:val="0"/>
                <w:sz w:val="20"/>
                <w:szCs w:val="20"/>
              </w:rPr>
              <w:t>15454.33</w:t>
            </w:r>
          </w:p>
        </w:tc>
        <w:tc>
          <w:tcPr>
            <w:tcW w:w="1013" w:type="dxa"/>
            <w:tcBorders>
              <w:top w:val="nil"/>
              <w:left w:val="nil"/>
              <w:bottom w:val="single" w:color="000000" w:sz="8" w:space="0"/>
              <w:right w:val="single" w:color="000000" w:sz="8" w:space="0"/>
            </w:tcBorders>
            <w:shd w:val="clear" w:color="auto" w:fill="auto"/>
            <w:vAlign w:val="center"/>
          </w:tcPr>
          <w:p>
            <w:pPr>
              <w:widowControl/>
              <w:jc w:val="center"/>
              <w:rPr>
                <w:b/>
                <w:kern w:val="0"/>
                <w:sz w:val="20"/>
                <w:szCs w:val="20"/>
              </w:rPr>
            </w:pPr>
          </w:p>
        </w:tc>
      </w:tr>
    </w:tbl>
    <w:p>
      <w:pPr>
        <w:pStyle w:val="2"/>
        <w:ind w:firstLine="562" w:firstLineChars="200"/>
        <w:rPr>
          <w:rFonts w:ascii="仿宋_GB2312" w:eastAsia="仿宋_GB2312"/>
          <w:b/>
          <w:bCs/>
          <w:color w:val="FF0000"/>
          <w:sz w:val="28"/>
          <w:szCs w:val="28"/>
        </w:rPr>
      </w:pPr>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重点项目支出（按一级功能科目分类）情况：</w:t>
      </w:r>
    </w:p>
    <w:p>
      <w:pPr>
        <w:autoSpaceDE w:val="0"/>
        <w:autoSpaceDN w:val="0"/>
        <w:adjustRightInd w:val="0"/>
        <w:spacing w:line="600" w:lineRule="exact"/>
        <w:ind w:firstLine="560" w:firstLineChars="200"/>
        <w:rPr>
          <w:rFonts w:eastAsia="仿宋_GB2312"/>
          <w:sz w:val="28"/>
          <w:szCs w:val="28"/>
        </w:rPr>
      </w:pPr>
      <w:r>
        <w:rPr>
          <w:rFonts w:eastAsia="仿宋_GB2312"/>
          <w:sz w:val="28"/>
          <w:szCs w:val="28"/>
        </w:rPr>
        <w:t>（1）一般公共服务支出：全年实际发生支出</w:t>
      </w:r>
      <w:r>
        <w:rPr>
          <w:rFonts w:hint="eastAsia" w:eastAsia="仿宋_GB2312"/>
          <w:sz w:val="28"/>
          <w:szCs w:val="28"/>
        </w:rPr>
        <w:t>3629.97</w:t>
      </w:r>
      <w:r>
        <w:rPr>
          <w:rFonts w:eastAsia="仿宋_GB2312"/>
          <w:sz w:val="28"/>
          <w:szCs w:val="28"/>
        </w:rPr>
        <w:t>万元，主要为办公室机关事务经费</w:t>
      </w:r>
      <w:r>
        <w:rPr>
          <w:rFonts w:hint="eastAsia" w:eastAsia="仿宋_GB2312"/>
          <w:sz w:val="28"/>
          <w:szCs w:val="28"/>
        </w:rPr>
        <w:t>152.55</w:t>
      </w:r>
      <w:r>
        <w:rPr>
          <w:rFonts w:eastAsia="仿宋_GB2312"/>
          <w:sz w:val="28"/>
          <w:szCs w:val="28"/>
        </w:rPr>
        <w:t>万元、</w:t>
      </w:r>
      <w:r>
        <w:rPr>
          <w:rFonts w:hint="eastAsia" w:eastAsia="仿宋_GB2312"/>
          <w:sz w:val="28"/>
          <w:szCs w:val="28"/>
        </w:rPr>
        <w:t>机关劳务派遣工资及福利939.92万元，购房契税补贴1174.34万元</w:t>
      </w:r>
      <w:r>
        <w:rPr>
          <w:rFonts w:eastAsia="仿宋_GB2312"/>
          <w:sz w:val="28"/>
          <w:szCs w:val="28"/>
        </w:rPr>
        <w:t>、财政投资评审及绩效评价（财政局）</w:t>
      </w:r>
      <w:r>
        <w:rPr>
          <w:rFonts w:hint="eastAsia" w:eastAsia="仿宋_GB2312"/>
          <w:sz w:val="28"/>
          <w:szCs w:val="28"/>
        </w:rPr>
        <w:t>113.57</w:t>
      </w:r>
      <w:r>
        <w:rPr>
          <w:rFonts w:eastAsia="仿宋_GB2312"/>
          <w:sz w:val="28"/>
          <w:szCs w:val="28"/>
        </w:rPr>
        <w:t>万元</w:t>
      </w:r>
      <w:r>
        <w:rPr>
          <w:rFonts w:hint="eastAsia" w:eastAsia="仿宋_GB2312"/>
          <w:sz w:val="28"/>
          <w:szCs w:val="28"/>
        </w:rPr>
        <w:t>，规划编制及项目评审314.62万元、</w:t>
      </w:r>
      <w:r>
        <w:rPr>
          <w:rFonts w:eastAsia="仿宋_GB2312"/>
          <w:sz w:val="28"/>
          <w:szCs w:val="28"/>
        </w:rPr>
        <w:t>招商引资资金(商务局)</w:t>
      </w:r>
      <w:r>
        <w:rPr>
          <w:rFonts w:hint="eastAsia" w:eastAsia="仿宋_GB2312"/>
          <w:sz w:val="28"/>
          <w:szCs w:val="28"/>
        </w:rPr>
        <w:t>359.62</w:t>
      </w:r>
      <w:r>
        <w:rPr>
          <w:rFonts w:eastAsia="仿宋_GB2312"/>
          <w:sz w:val="28"/>
          <w:szCs w:val="28"/>
        </w:rPr>
        <w:t>万元、宣传文明创建经费</w:t>
      </w:r>
      <w:r>
        <w:rPr>
          <w:rFonts w:hint="eastAsia" w:eastAsia="仿宋_GB2312"/>
          <w:sz w:val="28"/>
          <w:szCs w:val="28"/>
        </w:rPr>
        <w:t>342.58</w:t>
      </w:r>
      <w:r>
        <w:rPr>
          <w:rFonts w:eastAsia="仿宋_GB2312"/>
          <w:sz w:val="28"/>
          <w:szCs w:val="28"/>
        </w:rPr>
        <w:t>万元</w:t>
      </w:r>
      <w:r>
        <w:rPr>
          <w:rFonts w:hint="eastAsia" w:eastAsia="仿宋_GB2312"/>
          <w:sz w:val="28"/>
          <w:szCs w:val="28"/>
        </w:rPr>
        <w:t>，机关工会慰问经费96万元</w:t>
      </w:r>
      <w:r>
        <w:rPr>
          <w:rFonts w:eastAsia="仿宋_GB2312"/>
          <w:sz w:val="28"/>
          <w:szCs w:val="28"/>
        </w:rPr>
        <w:t>等。</w:t>
      </w:r>
    </w:p>
    <w:p>
      <w:pPr>
        <w:autoSpaceDE w:val="0"/>
        <w:autoSpaceDN w:val="0"/>
        <w:adjustRightInd w:val="0"/>
        <w:spacing w:line="600" w:lineRule="exact"/>
        <w:ind w:firstLine="560" w:firstLineChars="200"/>
        <w:rPr>
          <w:rFonts w:eastAsia="仿宋_GB2312"/>
          <w:sz w:val="28"/>
          <w:szCs w:val="28"/>
        </w:rPr>
      </w:pPr>
      <w:r>
        <w:rPr>
          <w:rFonts w:eastAsia="仿宋_GB2312"/>
          <w:sz w:val="28"/>
          <w:szCs w:val="28"/>
        </w:rPr>
        <w:t>（2）教育支出：全年实际发生支出</w:t>
      </w:r>
      <w:r>
        <w:rPr>
          <w:rFonts w:hint="eastAsia" w:eastAsia="仿宋_GB2312"/>
          <w:sz w:val="28"/>
          <w:szCs w:val="28"/>
        </w:rPr>
        <w:t>3537.31</w:t>
      </w:r>
      <w:r>
        <w:rPr>
          <w:rFonts w:eastAsia="仿宋_GB2312"/>
          <w:sz w:val="28"/>
          <w:szCs w:val="28"/>
        </w:rPr>
        <w:t>万元，其中：园区学校项目建设经费</w:t>
      </w:r>
      <w:r>
        <w:rPr>
          <w:rFonts w:hint="eastAsia" w:eastAsia="仿宋_GB2312"/>
          <w:sz w:val="28"/>
          <w:szCs w:val="28"/>
        </w:rPr>
        <w:t>3000</w:t>
      </w:r>
      <w:r>
        <w:rPr>
          <w:rFonts w:eastAsia="仿宋_GB2312"/>
          <w:sz w:val="28"/>
          <w:szCs w:val="28"/>
        </w:rPr>
        <w:t>万元、老师购买服务</w:t>
      </w:r>
      <w:r>
        <w:rPr>
          <w:rFonts w:hint="eastAsia" w:eastAsia="仿宋_GB2312"/>
          <w:sz w:val="28"/>
          <w:szCs w:val="28"/>
        </w:rPr>
        <w:t>332.8</w:t>
      </w:r>
      <w:r>
        <w:rPr>
          <w:rFonts w:eastAsia="仿宋_GB2312"/>
          <w:sz w:val="28"/>
          <w:szCs w:val="28"/>
        </w:rPr>
        <w:t>万元、教育慰问及扶贫（文教卫）</w:t>
      </w:r>
      <w:r>
        <w:rPr>
          <w:rFonts w:hint="eastAsia" w:eastAsia="仿宋_GB2312"/>
          <w:sz w:val="28"/>
          <w:szCs w:val="28"/>
        </w:rPr>
        <w:t>54.39</w:t>
      </w:r>
      <w:r>
        <w:rPr>
          <w:rFonts w:eastAsia="仿宋_GB2312"/>
          <w:sz w:val="28"/>
          <w:szCs w:val="28"/>
        </w:rPr>
        <w:t>万元、人才强区储备金1.23</w:t>
      </w:r>
      <w:r>
        <w:rPr>
          <w:rFonts w:hint="eastAsia" w:eastAsia="仿宋_GB2312"/>
          <w:sz w:val="28"/>
          <w:szCs w:val="28"/>
        </w:rPr>
        <w:t>8</w:t>
      </w:r>
      <w:r>
        <w:rPr>
          <w:rFonts w:eastAsia="仿宋_GB2312"/>
          <w:sz w:val="28"/>
          <w:szCs w:val="28"/>
        </w:rPr>
        <w:t>万元、中华会计函授学校补助经费2.00万元。</w:t>
      </w:r>
    </w:p>
    <w:p>
      <w:pPr>
        <w:autoSpaceDE w:val="0"/>
        <w:autoSpaceDN w:val="0"/>
        <w:adjustRightInd w:val="0"/>
        <w:spacing w:line="600" w:lineRule="exact"/>
        <w:ind w:firstLine="560" w:firstLineChars="200"/>
        <w:rPr>
          <w:rFonts w:eastAsia="仿宋_GB2312"/>
          <w:sz w:val="28"/>
          <w:szCs w:val="28"/>
        </w:rPr>
      </w:pPr>
      <w:r>
        <w:rPr>
          <w:rFonts w:eastAsia="仿宋_GB2312"/>
          <w:sz w:val="28"/>
          <w:szCs w:val="28"/>
        </w:rPr>
        <w:t>（3）节能环保支出：全年实际发生支出</w:t>
      </w:r>
      <w:r>
        <w:rPr>
          <w:rFonts w:hint="eastAsia" w:eastAsia="仿宋_GB2312"/>
          <w:sz w:val="28"/>
          <w:szCs w:val="28"/>
        </w:rPr>
        <w:t>1100.23</w:t>
      </w:r>
      <w:r>
        <w:rPr>
          <w:rFonts w:eastAsia="仿宋_GB2312"/>
          <w:sz w:val="28"/>
          <w:szCs w:val="28"/>
        </w:rPr>
        <w:t>万元，其中：园林养护服务及绿化提质</w:t>
      </w:r>
      <w:r>
        <w:rPr>
          <w:rFonts w:hint="eastAsia" w:eastAsia="仿宋_GB2312"/>
          <w:sz w:val="28"/>
          <w:szCs w:val="28"/>
        </w:rPr>
        <w:t>99.33</w:t>
      </w:r>
      <w:r>
        <w:rPr>
          <w:rFonts w:eastAsia="仿宋_GB2312"/>
          <w:sz w:val="28"/>
          <w:szCs w:val="28"/>
        </w:rPr>
        <w:t>万元、环境卫生市场营运经费</w:t>
      </w:r>
      <w:r>
        <w:rPr>
          <w:rFonts w:hint="eastAsia" w:eastAsia="仿宋_GB2312"/>
          <w:sz w:val="28"/>
          <w:szCs w:val="28"/>
        </w:rPr>
        <w:t>583.33</w:t>
      </w:r>
      <w:r>
        <w:rPr>
          <w:rFonts w:eastAsia="仿宋_GB2312"/>
          <w:sz w:val="28"/>
          <w:szCs w:val="28"/>
        </w:rPr>
        <w:t>万元、生态环境保护宣传（环保局）</w:t>
      </w:r>
      <w:r>
        <w:rPr>
          <w:rFonts w:hint="eastAsia" w:eastAsia="仿宋_GB2312"/>
          <w:sz w:val="28"/>
          <w:szCs w:val="28"/>
        </w:rPr>
        <w:t>82</w:t>
      </w:r>
      <w:r>
        <w:rPr>
          <w:rFonts w:eastAsia="仿宋_GB2312"/>
          <w:sz w:val="28"/>
          <w:szCs w:val="28"/>
        </w:rPr>
        <w:t>万元、生态环境监测与信息（环保局）</w:t>
      </w:r>
      <w:r>
        <w:rPr>
          <w:rFonts w:hint="eastAsia" w:eastAsia="仿宋_GB2312"/>
          <w:sz w:val="28"/>
          <w:szCs w:val="28"/>
        </w:rPr>
        <w:t>112.2</w:t>
      </w:r>
      <w:r>
        <w:rPr>
          <w:rFonts w:eastAsia="仿宋_GB2312"/>
          <w:sz w:val="28"/>
          <w:szCs w:val="28"/>
        </w:rPr>
        <w:t>万元</w:t>
      </w:r>
      <w:r>
        <w:rPr>
          <w:rFonts w:hint="eastAsia" w:eastAsia="仿宋_GB2312"/>
          <w:sz w:val="28"/>
          <w:szCs w:val="28"/>
        </w:rPr>
        <w:t>、环卫设施购置运行及垃圾处理76.4万元</w:t>
      </w:r>
      <w:r>
        <w:rPr>
          <w:rFonts w:eastAsia="仿宋_GB2312"/>
          <w:sz w:val="28"/>
          <w:szCs w:val="28"/>
        </w:rPr>
        <w:t>。</w:t>
      </w:r>
    </w:p>
    <w:p>
      <w:pPr>
        <w:autoSpaceDE w:val="0"/>
        <w:autoSpaceDN w:val="0"/>
        <w:adjustRightInd w:val="0"/>
        <w:spacing w:line="600" w:lineRule="exact"/>
        <w:ind w:firstLine="560" w:firstLineChars="200"/>
        <w:rPr>
          <w:rFonts w:eastAsia="仿宋_GB2312"/>
          <w:sz w:val="28"/>
          <w:szCs w:val="28"/>
        </w:rPr>
      </w:pPr>
      <w:r>
        <w:rPr>
          <w:rFonts w:eastAsia="仿宋_GB2312"/>
          <w:sz w:val="28"/>
          <w:szCs w:val="28"/>
        </w:rPr>
        <w:t>（4）科学技术支出：全年实际发生支出</w:t>
      </w:r>
      <w:r>
        <w:rPr>
          <w:rFonts w:hint="eastAsia" w:eastAsia="仿宋_GB2312"/>
          <w:sz w:val="28"/>
          <w:szCs w:val="28"/>
        </w:rPr>
        <w:t>244.06</w:t>
      </w:r>
      <w:r>
        <w:rPr>
          <w:rFonts w:eastAsia="仿宋_GB2312"/>
          <w:sz w:val="28"/>
          <w:szCs w:val="28"/>
        </w:rPr>
        <w:t>万元，其中：智慧园区建设（办公室）</w:t>
      </w:r>
      <w:r>
        <w:rPr>
          <w:rFonts w:hint="eastAsia" w:eastAsia="仿宋_GB2312"/>
          <w:sz w:val="28"/>
          <w:szCs w:val="28"/>
        </w:rPr>
        <w:t>100.41</w:t>
      </w:r>
      <w:r>
        <w:rPr>
          <w:rFonts w:eastAsia="仿宋_GB2312"/>
          <w:sz w:val="28"/>
          <w:szCs w:val="28"/>
        </w:rPr>
        <w:t>万元、创国家级高新区（经发局）</w:t>
      </w:r>
      <w:r>
        <w:rPr>
          <w:rFonts w:hint="eastAsia" w:eastAsia="仿宋_GB2312"/>
          <w:sz w:val="28"/>
          <w:szCs w:val="28"/>
        </w:rPr>
        <w:t>4.7</w:t>
      </w:r>
      <w:r>
        <w:rPr>
          <w:rFonts w:eastAsia="仿宋_GB2312"/>
          <w:sz w:val="28"/>
          <w:szCs w:val="28"/>
        </w:rPr>
        <w:t>万元、施工图审查</w:t>
      </w:r>
      <w:r>
        <w:rPr>
          <w:rFonts w:hint="eastAsia" w:eastAsia="仿宋_GB2312"/>
          <w:sz w:val="28"/>
          <w:szCs w:val="28"/>
        </w:rPr>
        <w:t>69.3</w:t>
      </w:r>
      <w:r>
        <w:rPr>
          <w:rFonts w:eastAsia="仿宋_GB2312"/>
          <w:sz w:val="28"/>
          <w:szCs w:val="28"/>
        </w:rPr>
        <w:t>万元、</w:t>
      </w:r>
      <w:r>
        <w:rPr>
          <w:rFonts w:hint="eastAsia" w:eastAsia="仿宋_GB2312"/>
          <w:sz w:val="28"/>
          <w:szCs w:val="28"/>
        </w:rPr>
        <w:t>规划编制及项目评审50万元</w:t>
      </w:r>
      <w:r>
        <w:rPr>
          <w:rFonts w:eastAsia="仿宋_GB2312"/>
          <w:sz w:val="28"/>
          <w:szCs w:val="28"/>
        </w:rPr>
        <w:t>。</w:t>
      </w:r>
    </w:p>
    <w:p>
      <w:pPr>
        <w:autoSpaceDE w:val="0"/>
        <w:autoSpaceDN w:val="0"/>
        <w:adjustRightInd w:val="0"/>
        <w:spacing w:line="600" w:lineRule="exact"/>
        <w:ind w:firstLine="560" w:firstLineChars="200"/>
        <w:rPr>
          <w:rFonts w:eastAsia="仿宋_GB2312"/>
          <w:sz w:val="28"/>
          <w:szCs w:val="28"/>
        </w:rPr>
      </w:pPr>
      <w:r>
        <w:rPr>
          <w:rFonts w:eastAsia="仿宋_GB2312"/>
          <w:sz w:val="28"/>
          <w:szCs w:val="28"/>
        </w:rPr>
        <w:t>（5）城乡社区支出：全年实际发生支出</w:t>
      </w:r>
      <w:r>
        <w:rPr>
          <w:rFonts w:hint="eastAsia" w:eastAsia="仿宋_GB2312"/>
          <w:sz w:val="28"/>
          <w:szCs w:val="28"/>
        </w:rPr>
        <w:t>2071.56</w:t>
      </w:r>
      <w:r>
        <w:rPr>
          <w:rFonts w:eastAsia="仿宋_GB2312"/>
          <w:sz w:val="28"/>
          <w:szCs w:val="28"/>
        </w:rPr>
        <w:t>万元，主要为城市配套建设及公共设施维护改造</w:t>
      </w:r>
      <w:r>
        <w:rPr>
          <w:rFonts w:hint="eastAsia" w:eastAsia="仿宋_GB2312"/>
          <w:sz w:val="28"/>
          <w:szCs w:val="28"/>
        </w:rPr>
        <w:t>969.59</w:t>
      </w:r>
      <w:r>
        <w:rPr>
          <w:rFonts w:eastAsia="仿宋_GB2312"/>
          <w:sz w:val="28"/>
          <w:szCs w:val="28"/>
        </w:rPr>
        <w:t>万元、城市配套建设及市政公共设施维护改造（公用事业中心）</w:t>
      </w:r>
      <w:r>
        <w:rPr>
          <w:rFonts w:hint="eastAsia" w:eastAsia="仿宋_GB2312"/>
          <w:sz w:val="28"/>
          <w:szCs w:val="28"/>
        </w:rPr>
        <w:t>100.94</w:t>
      </w:r>
      <w:r>
        <w:rPr>
          <w:rFonts w:eastAsia="仿宋_GB2312"/>
          <w:sz w:val="28"/>
          <w:szCs w:val="28"/>
        </w:rPr>
        <w:t>万元、</w:t>
      </w:r>
      <w:r>
        <w:rPr>
          <w:rFonts w:hint="eastAsia" w:eastAsia="仿宋_GB2312"/>
          <w:sz w:val="28"/>
          <w:szCs w:val="28"/>
        </w:rPr>
        <w:t>施工图审查费用69.3万元</w:t>
      </w:r>
      <w:r>
        <w:rPr>
          <w:rFonts w:eastAsia="仿宋_GB2312"/>
          <w:sz w:val="28"/>
          <w:szCs w:val="28"/>
        </w:rPr>
        <w:t>、</w:t>
      </w:r>
      <w:r>
        <w:rPr>
          <w:rFonts w:hint="eastAsia" w:eastAsia="仿宋_GB2312"/>
          <w:sz w:val="28"/>
          <w:szCs w:val="28"/>
        </w:rPr>
        <w:t>住建专项经费46.16万元、春节氛围营造专项47.9万元、</w:t>
      </w:r>
      <w:r>
        <w:rPr>
          <w:rFonts w:eastAsia="仿宋_GB2312"/>
          <w:sz w:val="28"/>
          <w:szCs w:val="28"/>
        </w:rPr>
        <w:t>电力设施建设及城市照明费用</w:t>
      </w:r>
      <w:r>
        <w:rPr>
          <w:rFonts w:hint="eastAsia" w:eastAsia="仿宋_GB2312"/>
          <w:sz w:val="28"/>
          <w:szCs w:val="28"/>
        </w:rPr>
        <w:t>697.45</w:t>
      </w:r>
      <w:r>
        <w:rPr>
          <w:rFonts w:eastAsia="仿宋_GB2312"/>
          <w:sz w:val="28"/>
          <w:szCs w:val="28"/>
        </w:rPr>
        <w:t>万元、环卫设施购置运行及垃圾处理</w:t>
      </w:r>
      <w:r>
        <w:rPr>
          <w:rFonts w:hint="eastAsia" w:eastAsia="仿宋_GB2312"/>
          <w:sz w:val="28"/>
          <w:szCs w:val="28"/>
        </w:rPr>
        <w:t>76.54</w:t>
      </w:r>
      <w:r>
        <w:rPr>
          <w:rFonts w:eastAsia="仿宋_GB2312"/>
          <w:sz w:val="28"/>
          <w:szCs w:val="28"/>
        </w:rPr>
        <w:t>万元等。</w:t>
      </w:r>
      <w:bookmarkStart w:id="6" w:name="_Toc106607019"/>
    </w:p>
    <w:p>
      <w:pPr>
        <w:autoSpaceDE w:val="0"/>
        <w:autoSpaceDN w:val="0"/>
        <w:adjustRightInd w:val="0"/>
        <w:spacing w:line="60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项目管理情况</w:t>
      </w:r>
      <w:bookmarkEnd w:id="6"/>
    </w:p>
    <w:p>
      <w:pPr>
        <w:pStyle w:val="3"/>
        <w:spacing w:line="600" w:lineRule="exact"/>
        <w:ind w:left="0" w:firstLine="560" w:firstLineChars="200"/>
        <w:rPr>
          <w:rFonts w:eastAsia="仿宋_GB2312" w:cs="仿宋_GB2312"/>
          <w:sz w:val="32"/>
          <w:szCs w:val="32"/>
        </w:rPr>
      </w:pPr>
      <w:r>
        <w:rPr>
          <w:rFonts w:hint="eastAsia" w:ascii="仿宋_GB2312" w:hAnsi="仿宋_GB2312" w:eastAsia="仿宋_GB2312" w:cs="仿宋_GB2312"/>
          <w:sz w:val="28"/>
          <w:szCs w:val="28"/>
        </w:rPr>
        <w:t>为加强项目资金管理，规范项目管理行为，提高项目管理水平，保证项目顺利实施，本部门制定了财务管理制度、项目资金管理制度、专项资金管理办法等，对项目管理职责、申报与组织实施、项目资金的管理、监督检查与验收等进行了规定，成立了工作领导小组、明确工作职责、确定责任单位、项目实施内容、目标计划，制定工作方案、项目实施细则、考核办法等。</w:t>
      </w:r>
      <w:r>
        <w:rPr>
          <w:rFonts w:hint="eastAsia" w:ascii="仿宋_GB2312" w:eastAsia="仿宋_GB2312"/>
          <w:sz w:val="28"/>
          <w:szCs w:val="28"/>
        </w:rPr>
        <w:t>工程项目严格执行</w:t>
      </w:r>
      <w:r>
        <w:rPr>
          <w:rFonts w:ascii="仿宋_GB2312" w:eastAsia="仿宋_GB2312"/>
          <w:sz w:val="28"/>
          <w:szCs w:val="28"/>
        </w:rPr>
        <w:t>项目法人责任制、工程监理制、招投标制、合同管理制和资本金制。</w:t>
      </w:r>
      <w:r>
        <w:rPr>
          <w:rFonts w:hint="eastAsia" w:ascii="仿宋_GB2312" w:eastAsia="仿宋_GB2312"/>
          <w:sz w:val="28"/>
          <w:szCs w:val="28"/>
        </w:rPr>
        <w:t>采取公示栏、公示牌及财政信息公开等形式，就项目建设内容、资金来源及构成等情况，进行前、中、后公示，将项目建设相关信息置于阳光下，主动接受社会和群众监督。</w:t>
      </w:r>
      <w:r>
        <w:rPr>
          <w:rFonts w:hint="eastAsia" w:eastAsia="仿宋_GB2312" w:cs="仿宋_GB2312"/>
          <w:sz w:val="28"/>
          <w:szCs w:val="28"/>
        </w:rPr>
        <w:t>2021</w:t>
      </w:r>
      <w:r>
        <w:rPr>
          <w:rFonts w:hint="eastAsia" w:ascii="仿宋_GB2312" w:eastAsia="仿宋_GB2312"/>
          <w:sz w:val="28"/>
          <w:szCs w:val="28"/>
        </w:rPr>
        <w:t>年本部门</w:t>
      </w:r>
      <w:r>
        <w:rPr>
          <w:rFonts w:ascii="仿宋_GB2312" w:eastAsia="仿宋_GB2312"/>
          <w:sz w:val="28"/>
          <w:szCs w:val="28"/>
        </w:rPr>
        <w:t>项目支出，基本能够严格按照制度、规定等进行。</w:t>
      </w:r>
    </w:p>
    <w:p>
      <w:pPr>
        <w:numPr>
          <w:ilvl w:val="0"/>
          <w:numId w:val="3"/>
        </w:numPr>
        <w:spacing w:line="600" w:lineRule="exact"/>
        <w:ind w:firstLine="641"/>
        <w:outlineLvl w:val="0"/>
        <w:rPr>
          <w:rFonts w:ascii="仿宋_GB2312" w:eastAsia="仿宋_GB2312"/>
          <w:b/>
          <w:sz w:val="32"/>
          <w:szCs w:val="32"/>
        </w:rPr>
      </w:pPr>
      <w:bookmarkStart w:id="7" w:name="_Toc106607020"/>
      <w:bookmarkStart w:id="8" w:name="_Toc106195595"/>
      <w:r>
        <w:rPr>
          <w:rFonts w:hint="eastAsia" w:ascii="仿宋_GB2312" w:eastAsia="仿宋_GB2312"/>
          <w:b/>
          <w:sz w:val="32"/>
          <w:szCs w:val="32"/>
        </w:rPr>
        <w:t>政府性基金预算支出情况</w:t>
      </w:r>
      <w:bookmarkEnd w:id="7"/>
      <w:bookmarkEnd w:id="8"/>
    </w:p>
    <w:p>
      <w:pPr>
        <w:autoSpaceDE w:val="0"/>
        <w:autoSpaceDN w:val="0"/>
        <w:adjustRightInd w:val="0"/>
        <w:spacing w:line="600" w:lineRule="exact"/>
        <w:ind w:firstLine="560" w:firstLineChars="200"/>
        <w:rPr>
          <w:rFonts w:eastAsia="仿宋_GB2312" w:cs="仿宋_GB2312"/>
          <w:sz w:val="28"/>
          <w:szCs w:val="28"/>
        </w:rPr>
      </w:pPr>
      <w:r>
        <w:rPr>
          <w:rFonts w:hint="eastAsia" w:eastAsia="仿宋_GB2312" w:cs="仿宋_GB2312"/>
          <w:sz w:val="28"/>
          <w:szCs w:val="28"/>
        </w:rPr>
        <w:t>1.2022年度本部门政府性基金预算支出年初预算1164万元，用于城市配套建设支出，资金均已到位，资金到位率100%；年初资金结转807.14万元，全年可用资金925.78万元，实际支出925.78万元。</w:t>
      </w:r>
    </w:p>
    <w:p>
      <w:pPr>
        <w:pStyle w:val="6"/>
        <w:ind w:firstLine="560" w:firstLineChars="200"/>
        <w:rPr>
          <w:rFonts w:ascii="仿宋_GB2312" w:eastAsia="仿宋_GB2312"/>
          <w:bCs/>
          <w:color w:val="FF0000"/>
          <w:sz w:val="28"/>
          <w:szCs w:val="28"/>
        </w:rPr>
      </w:pPr>
    </w:p>
    <w:p>
      <w:pPr>
        <w:pStyle w:val="6"/>
        <w:ind w:firstLine="560" w:firstLineChars="200"/>
        <w:rPr>
          <w:rFonts w:eastAsia="仿宋_GB2312" w:cs="仿宋_GB2312"/>
          <w:sz w:val="28"/>
          <w:szCs w:val="28"/>
        </w:rPr>
      </w:pPr>
      <w:r>
        <w:rPr>
          <w:rFonts w:hint="eastAsia" w:eastAsia="仿宋_GB2312" w:cs="仿宋_GB2312"/>
          <w:sz w:val="28"/>
          <w:szCs w:val="28"/>
        </w:rPr>
        <w:t>2.年度专项资金收支情况（金额单位：万元）</w:t>
      </w:r>
    </w:p>
    <w:tbl>
      <w:tblPr>
        <w:tblStyle w:val="15"/>
        <w:tblW w:w="8997" w:type="dxa"/>
        <w:tblInd w:w="0" w:type="dxa"/>
        <w:tblLayout w:type="fixed"/>
        <w:tblCellMar>
          <w:top w:w="0" w:type="dxa"/>
          <w:left w:w="0" w:type="dxa"/>
          <w:bottom w:w="0" w:type="dxa"/>
          <w:right w:w="0" w:type="dxa"/>
        </w:tblCellMar>
      </w:tblPr>
      <w:tblGrid>
        <w:gridCol w:w="924"/>
        <w:gridCol w:w="2803"/>
        <w:gridCol w:w="960"/>
        <w:gridCol w:w="780"/>
        <w:gridCol w:w="1170"/>
        <w:gridCol w:w="1245"/>
        <w:gridCol w:w="1115"/>
      </w:tblGrid>
      <w:tr>
        <w:tblPrEx>
          <w:tblCellMar>
            <w:top w:w="0" w:type="dxa"/>
            <w:left w:w="0" w:type="dxa"/>
            <w:bottom w:w="0" w:type="dxa"/>
            <w:right w:w="0" w:type="dxa"/>
          </w:tblCellMar>
        </w:tblPrEx>
        <w:trPr>
          <w:trHeight w:val="98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支出功能分类科目编码</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w:t>
            </w:r>
          </w:p>
        </w:tc>
      </w:tr>
      <w:tr>
        <w:tblPrEx>
          <w:tblCellMar>
            <w:top w:w="0" w:type="dxa"/>
            <w:left w:w="0" w:type="dxa"/>
            <w:bottom w:w="0" w:type="dxa"/>
            <w:right w:w="0" w:type="dxa"/>
          </w:tblCellMar>
        </w:tblPrEx>
        <w:trPr>
          <w:trHeight w:val="539" w:hRule="exac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b/>
                <w:bCs/>
              </w:rPr>
            </w:pPr>
            <w:r>
              <w:rPr>
                <w:rFonts w:hint="eastAsia"/>
                <w:b/>
                <w:bCs/>
              </w:rPr>
              <w:t xml:space="preserve"> 212 </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b/>
                <w:bCs/>
              </w:rPr>
            </w:pPr>
            <w:r>
              <w:rPr>
                <w:rFonts w:hint="eastAsia"/>
                <w:b/>
                <w:bCs/>
              </w:rPr>
              <w:t xml:space="preserve"> 城乡社区支出 </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 xml:space="preserve"> 792.14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92.00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 xml:space="preserve">884.14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 xml:space="preserve">884.14 </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p>
        </w:tc>
      </w:tr>
      <w:tr>
        <w:tblPrEx>
          <w:tblCellMar>
            <w:top w:w="0" w:type="dxa"/>
            <w:left w:w="0" w:type="dxa"/>
            <w:bottom w:w="0" w:type="dxa"/>
            <w:right w:w="0" w:type="dxa"/>
          </w:tblCellMar>
        </w:tblPrEx>
        <w:trPr>
          <w:trHeight w:val="539" w:hRule="exac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2120803 </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基础设施建设 </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291.92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291.92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291.92 </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539" w:hRule="exac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2120803 </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电力设施建设及城市照明费用 </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0.22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0.22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0.22 </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539" w:hRule="exac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2120803 </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农民工保证金 </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500.00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500.00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500.00 </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539" w:hRule="exac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2120803</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城市基础设施配套安排支出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7.00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7.00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7.00</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539" w:hRule="exac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2121301 </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城市基础设施配套安排支出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85..00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85..00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85..00 </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669" w:hRule="exac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b/>
                <w:bCs/>
              </w:rPr>
            </w:pPr>
            <w:r>
              <w:rPr>
                <w:rFonts w:hint="eastAsia"/>
                <w:b/>
                <w:bCs/>
              </w:rPr>
              <w:t xml:space="preserve"> 229 </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b/>
                <w:bCs/>
              </w:rPr>
            </w:pPr>
            <w:r>
              <w:rPr>
                <w:rFonts w:hint="eastAsia"/>
                <w:b/>
                <w:bCs/>
              </w:rPr>
              <w:t xml:space="preserve"> 其他支出 </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 xml:space="preserve"> 15.00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 xml:space="preserve">26.64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41.64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41.64</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 xml:space="preserve"> </w:t>
            </w:r>
          </w:p>
        </w:tc>
      </w:tr>
      <w:tr>
        <w:tblPrEx>
          <w:tblCellMar>
            <w:top w:w="0" w:type="dxa"/>
            <w:left w:w="0" w:type="dxa"/>
            <w:bottom w:w="0" w:type="dxa"/>
            <w:right w:w="0" w:type="dxa"/>
          </w:tblCellMar>
        </w:tblPrEx>
        <w:trPr>
          <w:trHeight w:val="539" w:hRule="exac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2296002 </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彩票公益金（社会事务局） </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15.00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26.64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 xml:space="preserve"> 41.64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r>
              <w:rPr>
                <w:rFonts w:hint="eastAsia"/>
              </w:rPr>
              <w:t>41.64</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539" w:hRule="exact"/>
        </w:trPr>
        <w:tc>
          <w:tcPr>
            <w:tcW w:w="37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bCs/>
              </w:rPr>
            </w:pPr>
            <w:r>
              <w:rPr>
                <w:rFonts w:hint="eastAsia"/>
                <w:b/>
                <w:bCs/>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807.14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118.64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925.78</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r>
              <w:rPr>
                <w:rFonts w:hint="eastAsia"/>
                <w:b/>
                <w:bCs/>
              </w:rPr>
              <w:t>925.78</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b/>
                <w:bCs/>
              </w:rPr>
            </w:pPr>
          </w:p>
        </w:tc>
      </w:tr>
    </w:tbl>
    <w:p>
      <w:pPr>
        <w:pStyle w:val="7"/>
        <w:jc w:val="left"/>
      </w:pPr>
    </w:p>
    <w:p/>
    <w:p>
      <w:pPr>
        <w:numPr>
          <w:ilvl w:val="0"/>
          <w:numId w:val="3"/>
        </w:numPr>
        <w:spacing w:line="600" w:lineRule="exact"/>
        <w:ind w:firstLine="641"/>
        <w:outlineLvl w:val="0"/>
        <w:rPr>
          <w:rFonts w:ascii="仿宋_GB2312" w:eastAsia="仿宋_GB2312"/>
          <w:b/>
          <w:sz w:val="32"/>
          <w:szCs w:val="32"/>
        </w:rPr>
      </w:pPr>
      <w:bookmarkStart w:id="9" w:name="_Toc106607021"/>
      <w:r>
        <w:rPr>
          <w:rFonts w:hint="eastAsia" w:ascii="仿宋_GB2312" w:eastAsia="仿宋_GB2312"/>
          <w:b/>
          <w:sz w:val="32"/>
          <w:szCs w:val="32"/>
        </w:rPr>
        <w:t>国有资本经营预算支出情况</w:t>
      </w:r>
      <w:bookmarkEnd w:id="9"/>
    </w:p>
    <w:p>
      <w:pPr>
        <w:widowControl/>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本部门无国有资本经营预算。</w:t>
      </w:r>
    </w:p>
    <w:p>
      <w:pPr>
        <w:numPr>
          <w:ilvl w:val="0"/>
          <w:numId w:val="3"/>
        </w:numPr>
        <w:spacing w:line="600" w:lineRule="exact"/>
        <w:ind w:firstLine="641"/>
        <w:outlineLvl w:val="0"/>
        <w:rPr>
          <w:rFonts w:ascii="仿宋_GB2312" w:eastAsia="仿宋_GB2312"/>
          <w:b/>
          <w:sz w:val="32"/>
          <w:szCs w:val="32"/>
        </w:rPr>
      </w:pPr>
      <w:bookmarkStart w:id="10" w:name="_Toc106607022"/>
      <w:r>
        <w:rPr>
          <w:rFonts w:hint="eastAsia" w:ascii="仿宋_GB2312" w:eastAsia="仿宋_GB2312"/>
          <w:b/>
          <w:sz w:val="32"/>
          <w:szCs w:val="32"/>
        </w:rPr>
        <w:t>社会保险基金预算支出情况</w:t>
      </w:r>
      <w:bookmarkEnd w:id="10"/>
    </w:p>
    <w:p>
      <w:pPr>
        <w:spacing w:line="600" w:lineRule="exact"/>
        <w:ind w:firstLine="560" w:firstLineChars="200"/>
        <w:rPr>
          <w:rFonts w:eastAsia="仿宋_GB2312" w:cs="仿宋_GB2312"/>
          <w:sz w:val="32"/>
          <w:szCs w:val="32"/>
        </w:rPr>
      </w:pPr>
      <w:r>
        <w:rPr>
          <w:rFonts w:hint="eastAsia" w:ascii="仿宋_GB2312" w:hAnsi="仿宋_GB2312" w:eastAsia="仿宋_GB2312" w:cs="仿宋_GB2312"/>
          <w:sz w:val="28"/>
          <w:szCs w:val="28"/>
        </w:rPr>
        <w:t>本部门无社会保险基金预算支出</w:t>
      </w:r>
      <w:r>
        <w:rPr>
          <w:rFonts w:hint="eastAsia" w:eastAsia="仿宋_GB2312" w:cs="仿宋_GB2312"/>
          <w:sz w:val="32"/>
          <w:szCs w:val="32"/>
        </w:rPr>
        <w:t>。</w:t>
      </w:r>
    </w:p>
    <w:p>
      <w:pPr>
        <w:numPr>
          <w:ilvl w:val="0"/>
          <w:numId w:val="3"/>
        </w:numPr>
        <w:spacing w:line="600" w:lineRule="exact"/>
        <w:ind w:firstLine="641"/>
        <w:outlineLvl w:val="0"/>
        <w:rPr>
          <w:rFonts w:ascii="仿宋_GB2312" w:eastAsia="仿宋_GB2312"/>
          <w:b/>
          <w:sz w:val="32"/>
          <w:szCs w:val="32"/>
        </w:rPr>
      </w:pPr>
      <w:bookmarkStart w:id="11" w:name="_Toc106607023"/>
      <w:r>
        <w:rPr>
          <w:rFonts w:hint="eastAsia" w:ascii="仿宋_GB2312" w:eastAsia="仿宋_GB2312"/>
          <w:b/>
          <w:sz w:val="32"/>
          <w:szCs w:val="32"/>
        </w:rPr>
        <w:t>部门整体支出绩效情况</w:t>
      </w:r>
      <w:bookmarkEnd w:id="11"/>
    </w:p>
    <w:p>
      <w:pPr>
        <w:spacing w:line="540" w:lineRule="exact"/>
        <w:ind w:firstLine="560" w:firstLineChars="200"/>
        <w:rPr>
          <w:rFonts w:eastAsia="仿宋_GB2312"/>
          <w:sz w:val="28"/>
          <w:szCs w:val="28"/>
        </w:rPr>
      </w:pPr>
      <w:bookmarkStart w:id="12" w:name="_Toc106607024"/>
      <w:r>
        <w:rPr>
          <w:rFonts w:hint="eastAsia" w:eastAsia="仿宋_GB2312"/>
          <w:sz w:val="28"/>
          <w:szCs w:val="28"/>
        </w:rPr>
        <w:t>2022年以习近平新时代中国特色社会主义思想为指导，在州委州政府的正确领导下，本部门多措并举加强党风廉政建设，深化落实全面从严治党主体责任，从明确责任、加强教育、完善机制、加强监督等方面全面推进党风廉政建设，强化党员干部党规党纪意识，坚决遏制干部不尽责、不作为、乱作为现象的发生。紧紧围绕州委、州政府的决策部署，加快“五好”园区建设，推动经济高质量发展。</w:t>
      </w:r>
    </w:p>
    <w:p>
      <w:pPr>
        <w:pStyle w:val="3"/>
        <w:spacing w:line="600" w:lineRule="exact"/>
        <w:ind w:left="0" w:firstLine="643" w:firstLineChars="200"/>
        <w:outlineLvl w:val="1"/>
        <w:rPr>
          <w:rFonts w:eastAsia="仿宋_GB2312" w:cs="仿宋_GB2312"/>
          <w:color w:val="0000FF"/>
          <w:sz w:val="32"/>
          <w:szCs w:val="32"/>
        </w:rPr>
      </w:pPr>
      <w:r>
        <w:rPr>
          <w:rFonts w:hint="eastAsia" w:ascii="仿宋_GB2312" w:eastAsia="仿宋_GB2312"/>
          <w:b/>
          <w:bCs/>
          <w:sz w:val="32"/>
          <w:szCs w:val="32"/>
        </w:rPr>
        <w:t>（一）年度总体目标完成情况</w:t>
      </w:r>
      <w:bookmarkEnd w:id="12"/>
    </w:p>
    <w:p>
      <w:pPr>
        <w:spacing w:line="540" w:lineRule="exact"/>
        <w:ind w:firstLine="560" w:firstLineChars="200"/>
        <w:rPr>
          <w:rFonts w:eastAsia="仿宋_GB2312"/>
          <w:sz w:val="28"/>
          <w:szCs w:val="28"/>
        </w:rPr>
      </w:pPr>
      <w:bookmarkStart w:id="13" w:name="_Toc106607025"/>
      <w:r>
        <w:rPr>
          <w:rFonts w:hint="eastAsia" w:eastAsia="仿宋_GB2312"/>
          <w:sz w:val="28"/>
          <w:szCs w:val="28"/>
        </w:rPr>
        <w:t>（一）经济运行稳中提质。全年实现地区GDP 85亿元，同比增长4.5%；预计完成固定资产投资55亿元，同比增长3%；预计规模工业增加值同比增长10%；预计完成技工贸收入221亿元，同比增长10%；实现地方财政收入3.87亿元，同比下降32%；预计引进省外境内资金32亿元，同比增长28%；新增“四上”企业15家。洁宝日化公司、锐阳电子公司入选省专精特新“小巨人”企业；方彦半导体公司、洁宝日化公司入选湖南上市后备企业；在2021年度全省46家高新区创新发展绩效评价中位列第11位，较上年度提升1个名次；“五好”园区建设被省政府真抓实干督查激励表彰。在宏观经济异常严竣的大环境下，大部分主要经济指标都实现正增长，较好地完成了全年目标任务。</w:t>
      </w:r>
    </w:p>
    <w:p>
      <w:pPr>
        <w:spacing w:line="540" w:lineRule="exact"/>
        <w:ind w:firstLine="560" w:firstLineChars="200"/>
        <w:rPr>
          <w:rFonts w:eastAsia="仿宋_GB2312"/>
          <w:sz w:val="28"/>
          <w:szCs w:val="28"/>
        </w:rPr>
      </w:pPr>
      <w:r>
        <w:rPr>
          <w:rFonts w:hint="eastAsia" w:eastAsia="仿宋_GB2312"/>
          <w:sz w:val="28"/>
          <w:szCs w:val="28"/>
        </w:rPr>
        <w:t>（二）项目建设有序推进。创新实施项目专班制，对项目进行全流程跟踪，组建前期工作、招商引资、项目实施、督导推进四个专班，分段负责，接力推进，全力优化项目建设环境。东区综合开发等一批重大项目开工建设，华美兴泰动力锂电池组、丰达合金新材料产业园等一批重大项目加快推进，武陵山智能制造基地等一批重大项目竣工,中印酒类包装智能制造生产项目等实现投产。省重点项目累计完成投资5.6亿元，完成年计划的112%；27个州重点项目累计完成投资70亿元，完成年计划的100%；完成重点项目动态储备155亿元，完成年计划的103%，稳住了经济发展的基本盘。</w:t>
      </w:r>
    </w:p>
    <w:p>
      <w:pPr>
        <w:spacing w:line="540" w:lineRule="exact"/>
        <w:ind w:firstLine="560" w:firstLineChars="200"/>
        <w:rPr>
          <w:rFonts w:eastAsia="仿宋_GB2312"/>
          <w:sz w:val="28"/>
          <w:szCs w:val="28"/>
        </w:rPr>
      </w:pPr>
      <w:r>
        <w:rPr>
          <w:rFonts w:hint="eastAsia" w:eastAsia="仿宋_GB2312"/>
          <w:sz w:val="28"/>
          <w:szCs w:val="28"/>
        </w:rPr>
        <w:t>（三）招商引资成效明显。坚持把招商引资作为“一号工程”，出台了《招商“第一人”奖励办法》等一系列重大政策，紧紧围绕“一主两特一配套”产业体系精准招商，荣获全省商务工作先进园区、2022年度全州招商引资工作考核一等奖。新引进签约项目35个，其中投资1亿元以上产业项目10个，新引进项目的数量、质量、规模跃上了新台阶。引进“三类500强”企业新投资项目4个，完成年任务的400%；新注册外商投资企业</w:t>
      </w:r>
      <w:r>
        <w:rPr>
          <w:rFonts w:eastAsia="仿宋_GB2312"/>
          <w:sz w:val="28"/>
          <w:szCs w:val="28"/>
        </w:rPr>
        <w:t>2</w:t>
      </w:r>
      <w:r>
        <w:rPr>
          <w:rFonts w:hint="eastAsia" w:eastAsia="仿宋_GB2312"/>
          <w:sz w:val="28"/>
          <w:szCs w:val="28"/>
        </w:rPr>
        <w:t>家，外商直接投资完成300万美元，增长100%；外贸进出口实绩企业13家，实现进出口总额13.5亿元，增长20%，占全州进出口总额60%以上。外资到位资金、进出口总额、引进“三类500强”企业数量、总量均位居全州第一，增强了经济发展的后劲。</w:t>
      </w:r>
    </w:p>
    <w:p>
      <w:pPr>
        <w:overflowPunct w:val="0"/>
        <w:spacing w:line="540" w:lineRule="exact"/>
        <w:ind w:firstLine="560" w:firstLineChars="200"/>
        <w:rPr>
          <w:rFonts w:eastAsia="仿宋_GB2312"/>
          <w:sz w:val="28"/>
          <w:szCs w:val="28"/>
        </w:rPr>
      </w:pPr>
      <w:r>
        <w:rPr>
          <w:rFonts w:hint="eastAsia" w:eastAsia="仿宋_GB2312"/>
          <w:sz w:val="28"/>
          <w:szCs w:val="28"/>
        </w:rPr>
        <w:t>（四）营商环境持续优化。深入推进优化营商环境攻坚年行动，</w:t>
      </w:r>
      <w:r>
        <w:rPr>
          <w:rFonts w:eastAsia="仿宋_GB2312"/>
          <w:sz w:val="28"/>
          <w:szCs w:val="28"/>
        </w:rPr>
        <w:t>连续3年荣获</w:t>
      </w:r>
      <w:r>
        <w:rPr>
          <w:rFonts w:hint="eastAsia" w:eastAsia="仿宋_GB2312"/>
          <w:sz w:val="28"/>
          <w:szCs w:val="28"/>
        </w:rPr>
        <w:t>全州深化“放管服”改革优化营商环境工作综合考核一等奖，在2022年全省营商环境评价133个省级园区中排名第四。深入开展干部联企“送政策、优服务、解难题”行动，全年共为企业办理“五税两费”缓缴595万元，征前减免2.12亿元，留抵退税2.65亿元，兑现各类财政奖补资金9536.68万元，减免小微服务业企业及商户租金978万元。推行帮代办服务“12345”模式，探索实施“码上办”小程序 ，行政审批服务效率进一步提升。</w:t>
      </w:r>
      <w:r>
        <w:rPr>
          <w:rFonts w:eastAsia="仿宋_GB2312"/>
          <w:sz w:val="28"/>
          <w:szCs w:val="28"/>
        </w:rPr>
        <w:t>截至2022年底，</w:t>
      </w:r>
      <w:r>
        <w:rPr>
          <w:rFonts w:hint="eastAsia" w:eastAsia="仿宋_GB2312"/>
          <w:sz w:val="28"/>
          <w:szCs w:val="28"/>
        </w:rPr>
        <w:t>高新区实有市场主体3968户，新增1064户，完成目标任务105.25%，其中，企业占比49.92%，法人企业占比84.55%，分别超过省定目标的25.92%和6.55%，两项指标均排名全州第一，经济发展的活力不断增强。</w:t>
      </w:r>
    </w:p>
    <w:p>
      <w:pPr>
        <w:overflowPunct w:val="0"/>
        <w:spacing w:line="540" w:lineRule="exact"/>
        <w:ind w:firstLine="560" w:firstLineChars="200"/>
        <w:rPr>
          <w:rFonts w:eastAsia="仿宋_GB2312"/>
          <w:sz w:val="28"/>
          <w:szCs w:val="28"/>
        </w:rPr>
      </w:pPr>
      <w:r>
        <w:rPr>
          <w:rFonts w:hint="eastAsia" w:eastAsia="仿宋_GB2312"/>
          <w:sz w:val="28"/>
          <w:szCs w:val="28"/>
        </w:rPr>
        <w:t>（五）改革创新蹄疾步稳。围绕减负、松绑，聚焦主责主业，统筹推进体制机制改革创新。州绩效办对高新区绩效实行单列考核、单独定等，实现了绩效考核差异化。坚持厘清政企边界，理顺管理架构，强化经营理念，加快剥离隐性债务，“国企改革提质增效”三年行动收官，吉投集团公司“集团化、市场化、专业化”改革成效初显，公司资产总额突破百亿元大关，市场化转型稳步推进。积极推动行政审批改革，园区赋权事项有效承接落地，“一枚印章管审批”开创园区新模式，改革创新不断向纵深推进。</w:t>
      </w:r>
    </w:p>
    <w:p>
      <w:pPr>
        <w:pStyle w:val="3"/>
        <w:spacing w:line="540" w:lineRule="exact"/>
        <w:ind w:left="0" w:firstLine="560" w:firstLineChars="200"/>
        <w:rPr>
          <w:rFonts w:eastAsia="仿宋_GB2312"/>
          <w:sz w:val="28"/>
          <w:szCs w:val="28"/>
        </w:rPr>
      </w:pPr>
      <w:r>
        <w:rPr>
          <w:rFonts w:hint="eastAsia" w:eastAsia="仿宋_GB2312"/>
          <w:sz w:val="28"/>
          <w:szCs w:val="28"/>
        </w:rPr>
        <w:t>（六）风险防范有力有效。严格按照“疫情要防住、经济要稳住、发展要安全”要求，积极应对风险挑战。全面压紧压实疫情防控“四方责任”，高效、高质完成了州（亚）准定点救治医院建设。切实加强州委违规举债和虚假化债专项巡察反馈问题整改，偿还隐性债务1.34亿元，已整改问题17个，有力防范了债务和金融风险。扎实开展“清廉园区”建设，构建亲清政商关系</w:t>
      </w:r>
      <w:r>
        <w:rPr>
          <w:rFonts w:eastAsia="仿宋_GB2312"/>
          <w:sz w:val="28"/>
          <w:szCs w:val="28"/>
        </w:rPr>
        <w:t>；</w:t>
      </w:r>
      <w:r>
        <w:rPr>
          <w:rFonts w:hint="eastAsia" w:eastAsia="仿宋_GB2312"/>
          <w:sz w:val="28"/>
          <w:szCs w:val="28"/>
        </w:rPr>
        <w:t>深入排查化解安全生产隐患，扎实开展“三稳三保”工作，</w:t>
      </w:r>
      <w:r>
        <w:rPr>
          <w:rFonts w:eastAsia="仿宋_GB2312"/>
          <w:sz w:val="28"/>
          <w:szCs w:val="28"/>
        </w:rPr>
        <w:t>争取到</w:t>
      </w:r>
      <w:r>
        <w:rPr>
          <w:rFonts w:hint="eastAsia" w:eastAsia="仿宋_GB2312"/>
          <w:sz w:val="28"/>
          <w:szCs w:val="28"/>
        </w:rPr>
        <w:t>3.1亿元保交楼专项借款资金</w:t>
      </w:r>
      <w:r>
        <w:rPr>
          <w:rFonts w:eastAsia="仿宋_GB2312"/>
          <w:sz w:val="28"/>
          <w:szCs w:val="28"/>
        </w:rPr>
        <w:t>；</w:t>
      </w:r>
      <w:r>
        <w:rPr>
          <w:rFonts w:hint="eastAsia" w:eastAsia="仿宋_GB2312"/>
          <w:sz w:val="28"/>
          <w:szCs w:val="28"/>
        </w:rPr>
        <w:t>探索创新“四三制”工作法，统筹推进基层社会矛盾纠纷防范化解，社会大局和谐稳定。</w:t>
      </w:r>
    </w:p>
    <w:p>
      <w:pPr>
        <w:spacing w:line="600" w:lineRule="exact"/>
        <w:ind w:firstLine="562" w:firstLineChars="200"/>
        <w:outlineLvl w:val="1"/>
        <w:rPr>
          <w:rFonts w:ascii="仿宋_GB2312" w:eastAsia="仿宋_GB2312"/>
          <w:b/>
          <w:bCs/>
          <w:sz w:val="28"/>
          <w:szCs w:val="28"/>
        </w:rPr>
      </w:pPr>
      <w:r>
        <w:rPr>
          <w:rFonts w:hint="eastAsia" w:ascii="仿宋_GB2312" w:eastAsia="仿宋_GB2312"/>
          <w:b/>
          <w:bCs/>
          <w:sz w:val="28"/>
          <w:szCs w:val="28"/>
        </w:rPr>
        <w:t>（二）预算资金及资产管理情况</w:t>
      </w:r>
      <w:bookmarkEnd w:id="13"/>
    </w:p>
    <w:p>
      <w:pPr>
        <w:pStyle w:val="23"/>
        <w:widowControl/>
        <w:spacing w:line="600" w:lineRule="exact"/>
        <w:ind w:firstLine="560"/>
        <w:rPr>
          <w:rFonts w:ascii="Times New Roman" w:hAnsi="Times New Roman" w:eastAsia="仿宋_GB2312"/>
          <w:sz w:val="28"/>
          <w:szCs w:val="28"/>
        </w:rPr>
      </w:pPr>
      <w:r>
        <w:rPr>
          <w:rFonts w:ascii="Times New Roman" w:hAnsi="Times New Roman" w:eastAsia="仿宋_GB2312"/>
          <w:sz w:val="28"/>
          <w:szCs w:val="28"/>
        </w:rPr>
        <w:t>1.为规范本部门预算管理行为，充分发挥预算管理职能，强化预算编制和预算执行约束力，科学合理配置资源，提高资金使用效益，部门重视预算管理体制建设，不断完善部门预算管理体制和运行体制。针对预算编制、预算执行等方面制定一系列内部管控制度，如内部财务管理、会计核算、厉行节约、项目资金、专项资金、内部绩效考核等管理制度，相关管理制度合法、合规、完整。同时部门重视预算管理制度执行，基本能够严格按照部门内部管理制度管理及规范使用预算资金，资金支付程序和手续齐全完整，支出符合预算批复的用途，无截留、挤占、挪用、虚列支出等情况，预算支出合法、合规，除预算编制因受财政财力影响尚存在欠准确、预算执行率较低外，相关管理制度得到较有效执行。</w:t>
      </w:r>
    </w:p>
    <w:p>
      <w:pPr>
        <w:pStyle w:val="23"/>
        <w:widowControl/>
        <w:spacing w:line="600" w:lineRule="exact"/>
        <w:ind w:firstLine="560"/>
        <w:rPr>
          <w:rFonts w:ascii="Times New Roman" w:hAnsi="Times New Roman" w:eastAsia="仿宋_GB2312"/>
          <w:sz w:val="28"/>
          <w:szCs w:val="28"/>
        </w:rPr>
      </w:pPr>
      <w:r>
        <w:rPr>
          <w:rFonts w:ascii="Times New Roman" w:hAnsi="Times New Roman" w:eastAsia="仿宋_GB2312"/>
          <w:sz w:val="28"/>
          <w:szCs w:val="28"/>
        </w:rPr>
        <w:t>2.本部门能结合单位实际情况，建立和完善本部门资产配置、使用、处置、收益管理、日常监督等具体制度。科学合理设置内部国有资产管理机构，对国有资产实施统一领导、归口管理，根据资产规模和管理工作的需要，配备了相应的国有资产管理工作人员，确保管理责任落实到人。本部门202</w:t>
      </w:r>
      <w:r>
        <w:rPr>
          <w:rFonts w:hint="eastAsia" w:ascii="Times New Roman" w:hAnsi="Times New Roman" w:eastAsia="仿宋_GB2312"/>
          <w:sz w:val="28"/>
          <w:szCs w:val="28"/>
        </w:rPr>
        <w:t>2</w:t>
      </w:r>
      <w:r>
        <w:rPr>
          <w:rFonts w:ascii="Times New Roman" w:hAnsi="Times New Roman" w:eastAsia="仿宋_GB2312"/>
          <w:sz w:val="28"/>
          <w:szCs w:val="28"/>
        </w:rPr>
        <w:t>年度的资产保存较完整、使用合规、配置较合理、处置规范、处置收入及时足额上缴，资产账务管理较合规，账实基本相符，部门资产基本得到安全有效运行。</w:t>
      </w:r>
    </w:p>
    <w:p>
      <w:pPr>
        <w:spacing w:line="580" w:lineRule="exact"/>
        <w:ind w:firstLine="643" w:firstLineChars="200"/>
        <w:outlineLvl w:val="1"/>
        <w:rPr>
          <w:rFonts w:ascii="仿宋_GB2312" w:eastAsia="仿宋_GB2312"/>
          <w:b/>
          <w:bCs/>
          <w:sz w:val="28"/>
          <w:szCs w:val="28"/>
        </w:rPr>
      </w:pPr>
      <w:bookmarkStart w:id="14" w:name="_Toc106607026"/>
      <w:r>
        <w:rPr>
          <w:rFonts w:hint="eastAsia" w:ascii="仿宋_GB2312" w:eastAsia="仿宋_GB2312"/>
          <w:b/>
          <w:bCs/>
          <w:sz w:val="32"/>
          <w:szCs w:val="32"/>
        </w:rPr>
        <w:t>（三）实现的产出和取得的效益方面</w:t>
      </w:r>
      <w:bookmarkEnd w:id="14"/>
    </w:p>
    <w:p>
      <w:pPr>
        <w:pStyle w:val="23"/>
        <w:widowControl/>
        <w:spacing w:line="580" w:lineRule="exact"/>
        <w:ind w:firstLine="560"/>
        <w:rPr>
          <w:rFonts w:ascii="Times New Roman" w:hAnsi="Times New Roman" w:eastAsia="仿宋_GB2312"/>
          <w:b/>
          <w:sz w:val="28"/>
          <w:szCs w:val="28"/>
        </w:rPr>
      </w:pPr>
      <w:r>
        <w:rPr>
          <w:rFonts w:ascii="Times New Roman" w:hAnsi="Times New Roman" w:eastAsia="仿宋_GB2312"/>
          <w:b/>
          <w:sz w:val="28"/>
          <w:szCs w:val="28"/>
        </w:rPr>
        <w:t>1.实现产出</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（1）重点工作完成率：202</w:t>
      </w:r>
      <w:r>
        <w:rPr>
          <w:rFonts w:hint="eastAsia" w:ascii="Times New Roman" w:hAnsi="Times New Roman" w:eastAsia="仿宋_GB2312"/>
          <w:sz w:val="28"/>
          <w:szCs w:val="28"/>
        </w:rPr>
        <w:t>2</w:t>
      </w:r>
      <w:r>
        <w:rPr>
          <w:rFonts w:ascii="Times New Roman" w:hAnsi="Times New Roman" w:eastAsia="仿宋_GB2312"/>
          <w:sz w:val="28"/>
          <w:szCs w:val="28"/>
        </w:rPr>
        <w:t>年招商引资全面完成；各项经济指标任务基本完成，经济增长稳步提升；税收质量稳步提升；营商环境不断优化。根据州考办函【202</w:t>
      </w:r>
      <w:r>
        <w:rPr>
          <w:rFonts w:hint="eastAsia" w:ascii="Times New Roman" w:hAnsi="Times New Roman" w:eastAsia="仿宋_GB2312"/>
          <w:sz w:val="28"/>
          <w:szCs w:val="28"/>
        </w:rPr>
        <w:t>3</w:t>
      </w:r>
      <w:r>
        <w:rPr>
          <w:rFonts w:ascii="Times New Roman" w:hAnsi="Times New Roman" w:eastAsia="仿宋_GB2312"/>
          <w:sz w:val="28"/>
          <w:szCs w:val="28"/>
        </w:rPr>
        <w:t>】年1号文件《关于反馈202</w:t>
      </w:r>
      <w:r>
        <w:rPr>
          <w:rFonts w:hint="eastAsia" w:ascii="Times New Roman" w:hAnsi="Times New Roman" w:eastAsia="仿宋_GB2312"/>
          <w:sz w:val="28"/>
          <w:szCs w:val="28"/>
        </w:rPr>
        <w:t>2</w:t>
      </w:r>
      <w:r>
        <w:rPr>
          <w:rFonts w:ascii="Times New Roman" w:hAnsi="Times New Roman" w:eastAsia="仿宋_GB2312"/>
          <w:sz w:val="28"/>
          <w:szCs w:val="28"/>
        </w:rPr>
        <w:t>年度绩效考核评分定等有关情况的函》，对本部门202</w:t>
      </w:r>
      <w:r>
        <w:rPr>
          <w:rFonts w:hint="eastAsia" w:ascii="Times New Roman" w:hAnsi="Times New Roman" w:eastAsia="仿宋_GB2312"/>
          <w:sz w:val="28"/>
          <w:szCs w:val="28"/>
        </w:rPr>
        <w:t>2</w:t>
      </w:r>
      <w:r>
        <w:rPr>
          <w:rFonts w:ascii="Times New Roman" w:hAnsi="Times New Roman" w:eastAsia="仿宋_GB2312"/>
          <w:sz w:val="28"/>
          <w:szCs w:val="28"/>
        </w:rPr>
        <w:t>年度五个文明建设绩效考核结果单列为优秀等次，部门重点工作完成率已基本完成。</w:t>
      </w:r>
    </w:p>
    <w:p>
      <w:pPr>
        <w:spacing w:line="580" w:lineRule="exact"/>
        <w:ind w:firstLine="560" w:firstLineChars="200"/>
        <w:rPr>
          <w:rFonts w:eastAsia="仿宋_GB2312"/>
          <w:sz w:val="28"/>
          <w:szCs w:val="28"/>
        </w:rPr>
      </w:pPr>
      <w:r>
        <w:rPr>
          <w:rFonts w:eastAsia="仿宋_GB2312"/>
          <w:sz w:val="28"/>
          <w:szCs w:val="28"/>
        </w:rPr>
        <w:t>（2）预算完成率：202</w:t>
      </w:r>
      <w:r>
        <w:rPr>
          <w:rFonts w:hint="eastAsia" w:eastAsia="仿宋_GB2312"/>
          <w:sz w:val="28"/>
          <w:szCs w:val="28"/>
        </w:rPr>
        <w:t>2</w:t>
      </w:r>
      <w:r>
        <w:rPr>
          <w:rFonts w:eastAsia="仿宋_GB2312"/>
          <w:sz w:val="28"/>
          <w:szCs w:val="28"/>
        </w:rPr>
        <w:t>年年初预算资金为</w:t>
      </w:r>
      <w:r>
        <w:rPr>
          <w:rFonts w:hint="eastAsia" w:eastAsia="仿宋_GB2312"/>
          <w:sz w:val="28"/>
          <w:szCs w:val="28"/>
        </w:rPr>
        <w:t>14275.49</w:t>
      </w:r>
      <w:r>
        <w:rPr>
          <w:rFonts w:eastAsia="仿宋_GB2312"/>
          <w:sz w:val="28"/>
          <w:szCs w:val="28"/>
        </w:rPr>
        <w:t>万元，全年预算数为</w:t>
      </w:r>
      <w:r>
        <w:rPr>
          <w:rFonts w:hint="eastAsia" w:eastAsia="仿宋_GB2312"/>
          <w:sz w:val="28"/>
          <w:szCs w:val="28"/>
        </w:rPr>
        <w:t>21436.67</w:t>
      </w:r>
      <w:r>
        <w:rPr>
          <w:rFonts w:eastAsia="仿宋_GB2312"/>
          <w:sz w:val="28"/>
          <w:szCs w:val="28"/>
        </w:rPr>
        <w:t>万元</w:t>
      </w:r>
      <w:r>
        <w:rPr>
          <w:rFonts w:hint="eastAsia" w:eastAsia="仿宋_GB2312"/>
          <w:sz w:val="28"/>
          <w:szCs w:val="28"/>
        </w:rPr>
        <w:t>，</w:t>
      </w:r>
      <w:r>
        <w:rPr>
          <w:rFonts w:eastAsia="仿宋_GB2312"/>
          <w:sz w:val="28"/>
          <w:szCs w:val="28"/>
        </w:rPr>
        <w:t>本年实际执行数为</w:t>
      </w:r>
      <w:r>
        <w:rPr>
          <w:rFonts w:hint="eastAsia" w:eastAsia="仿宋_GB2312"/>
          <w:sz w:val="28"/>
          <w:szCs w:val="28"/>
        </w:rPr>
        <w:t>21268.56</w:t>
      </w:r>
      <w:r>
        <w:rPr>
          <w:rFonts w:eastAsia="仿宋_GB2312"/>
          <w:sz w:val="28"/>
          <w:szCs w:val="28"/>
        </w:rPr>
        <w:t>万元，预算执行率为</w:t>
      </w:r>
      <w:r>
        <w:rPr>
          <w:rFonts w:hint="eastAsia" w:eastAsia="仿宋_GB2312"/>
          <w:sz w:val="28"/>
          <w:szCs w:val="28"/>
        </w:rPr>
        <w:t>93.39</w:t>
      </w:r>
      <w:r>
        <w:rPr>
          <w:rFonts w:eastAsia="仿宋_GB2312"/>
          <w:sz w:val="28"/>
          <w:szCs w:val="28"/>
        </w:rPr>
        <w:t>%，预算完成率</w:t>
      </w:r>
      <w:r>
        <w:rPr>
          <w:rFonts w:hint="eastAsia" w:eastAsia="仿宋_GB2312"/>
          <w:sz w:val="28"/>
          <w:szCs w:val="28"/>
        </w:rPr>
        <w:t>较高</w:t>
      </w:r>
      <w:r>
        <w:rPr>
          <w:rFonts w:eastAsia="仿宋_GB2312"/>
          <w:sz w:val="28"/>
          <w:szCs w:val="28"/>
        </w:rPr>
        <w:t>，全年预算</w:t>
      </w:r>
      <w:r>
        <w:rPr>
          <w:rFonts w:hint="eastAsia" w:eastAsia="仿宋_GB2312"/>
          <w:sz w:val="28"/>
          <w:szCs w:val="28"/>
        </w:rPr>
        <w:t>基本</w:t>
      </w:r>
      <w:r>
        <w:rPr>
          <w:rFonts w:eastAsia="仿宋_GB2312"/>
          <w:sz w:val="28"/>
          <w:szCs w:val="28"/>
        </w:rPr>
        <w:t>全面完成。</w:t>
      </w:r>
    </w:p>
    <w:p>
      <w:pPr>
        <w:autoSpaceDE w:val="0"/>
        <w:autoSpaceDN w:val="0"/>
        <w:adjustRightInd w:val="0"/>
        <w:spacing w:line="580" w:lineRule="exact"/>
        <w:ind w:firstLine="560" w:firstLineChars="200"/>
        <w:rPr>
          <w:rFonts w:eastAsia="仿宋_GB2312"/>
          <w:sz w:val="28"/>
          <w:szCs w:val="28"/>
        </w:rPr>
      </w:pPr>
      <w:r>
        <w:rPr>
          <w:rFonts w:eastAsia="仿宋_GB2312"/>
          <w:sz w:val="28"/>
          <w:szCs w:val="28"/>
        </w:rPr>
        <w:t>（3）预算调整率： 202</w:t>
      </w:r>
      <w:r>
        <w:rPr>
          <w:rFonts w:hint="eastAsia" w:eastAsia="仿宋_GB2312"/>
          <w:sz w:val="28"/>
          <w:szCs w:val="28"/>
        </w:rPr>
        <w:t>2</w:t>
      </w:r>
      <w:r>
        <w:rPr>
          <w:rFonts w:eastAsia="仿宋_GB2312"/>
          <w:sz w:val="28"/>
          <w:szCs w:val="28"/>
        </w:rPr>
        <w:t>年年初预算资金为</w:t>
      </w:r>
      <w:r>
        <w:rPr>
          <w:rFonts w:hint="eastAsia" w:eastAsia="仿宋_GB2312"/>
          <w:sz w:val="28"/>
          <w:szCs w:val="28"/>
        </w:rPr>
        <w:t>21318.49</w:t>
      </w:r>
      <w:r>
        <w:rPr>
          <w:rFonts w:eastAsia="仿宋_GB2312"/>
          <w:sz w:val="28"/>
          <w:szCs w:val="28"/>
        </w:rPr>
        <w:t>万元，本年净调整增加</w:t>
      </w:r>
      <w:r>
        <w:rPr>
          <w:rFonts w:hint="eastAsia" w:eastAsia="仿宋_GB2312"/>
          <w:sz w:val="28"/>
          <w:szCs w:val="28"/>
        </w:rPr>
        <w:t>118.18</w:t>
      </w:r>
      <w:r>
        <w:rPr>
          <w:rFonts w:eastAsia="仿宋_GB2312"/>
          <w:sz w:val="28"/>
          <w:szCs w:val="28"/>
        </w:rPr>
        <w:t>万元，预算调整率为</w:t>
      </w:r>
      <w:r>
        <w:rPr>
          <w:rFonts w:hint="eastAsia" w:eastAsia="仿宋_GB2312"/>
          <w:sz w:val="28"/>
          <w:szCs w:val="28"/>
        </w:rPr>
        <w:t>0.55</w:t>
      </w:r>
      <w:r>
        <w:rPr>
          <w:rFonts w:eastAsia="仿宋_GB2312"/>
          <w:sz w:val="28"/>
          <w:szCs w:val="28"/>
        </w:rPr>
        <w:t>%。</w:t>
      </w:r>
    </w:p>
    <w:p>
      <w:pPr>
        <w:autoSpaceDE w:val="0"/>
        <w:autoSpaceDN w:val="0"/>
        <w:adjustRightInd w:val="0"/>
        <w:spacing w:line="580" w:lineRule="exact"/>
        <w:ind w:firstLine="560" w:firstLineChars="200"/>
        <w:rPr>
          <w:rFonts w:eastAsia="仿宋_GB2312"/>
          <w:sz w:val="28"/>
          <w:szCs w:val="28"/>
        </w:rPr>
      </w:pPr>
      <w:r>
        <w:rPr>
          <w:rFonts w:eastAsia="仿宋_GB2312"/>
          <w:sz w:val="28"/>
          <w:szCs w:val="28"/>
        </w:rPr>
        <w:t>（4）政府采购执行率:202</w:t>
      </w:r>
      <w:r>
        <w:rPr>
          <w:rFonts w:hint="eastAsia" w:eastAsia="仿宋_GB2312"/>
          <w:sz w:val="28"/>
          <w:szCs w:val="28"/>
        </w:rPr>
        <w:t>2</w:t>
      </w:r>
      <w:r>
        <w:rPr>
          <w:rFonts w:eastAsia="仿宋_GB2312"/>
          <w:sz w:val="28"/>
          <w:szCs w:val="28"/>
        </w:rPr>
        <w:t>年本部门政府采购预算安排</w:t>
      </w:r>
      <w:r>
        <w:rPr>
          <w:rFonts w:hint="eastAsia" w:eastAsia="仿宋_GB2312"/>
          <w:sz w:val="28"/>
          <w:szCs w:val="28"/>
        </w:rPr>
        <w:t>1377.86</w:t>
      </w:r>
      <w:r>
        <w:rPr>
          <w:rFonts w:eastAsia="仿宋_GB2312"/>
          <w:sz w:val="28"/>
          <w:szCs w:val="28"/>
        </w:rPr>
        <w:t>万元，决算报表政府采购支出统计数为</w:t>
      </w:r>
      <w:r>
        <w:rPr>
          <w:rFonts w:hint="eastAsia" w:eastAsia="仿宋_GB2312"/>
          <w:sz w:val="28"/>
          <w:szCs w:val="28"/>
        </w:rPr>
        <w:t>1033.4</w:t>
      </w:r>
      <w:r>
        <w:rPr>
          <w:rFonts w:eastAsia="仿宋_GB2312"/>
          <w:sz w:val="28"/>
          <w:szCs w:val="28"/>
        </w:rPr>
        <w:t>万元，政府采购执行率</w:t>
      </w:r>
      <w:r>
        <w:rPr>
          <w:rFonts w:hint="eastAsia" w:eastAsia="仿宋_GB2312"/>
          <w:sz w:val="28"/>
          <w:szCs w:val="28"/>
        </w:rPr>
        <w:t>75</w:t>
      </w:r>
      <w:r>
        <w:rPr>
          <w:rFonts w:eastAsia="仿宋_GB2312"/>
          <w:sz w:val="28"/>
          <w:szCs w:val="28"/>
        </w:rPr>
        <w:t>%，执行率较</w:t>
      </w:r>
      <w:r>
        <w:rPr>
          <w:rFonts w:hint="eastAsia" w:eastAsia="仿宋_GB2312"/>
          <w:sz w:val="28"/>
          <w:szCs w:val="28"/>
        </w:rPr>
        <w:t>高</w:t>
      </w:r>
      <w:r>
        <w:rPr>
          <w:rFonts w:eastAsia="仿宋_GB2312"/>
          <w:sz w:val="28"/>
          <w:szCs w:val="28"/>
        </w:rPr>
        <w:t>。</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 xml:space="preserve"> （5）三公经费控制率:202</w:t>
      </w:r>
      <w:r>
        <w:rPr>
          <w:rFonts w:hint="eastAsia" w:ascii="Times New Roman" w:hAnsi="Times New Roman" w:eastAsia="仿宋_GB2312"/>
          <w:sz w:val="28"/>
          <w:szCs w:val="28"/>
        </w:rPr>
        <w:t>2</w:t>
      </w:r>
      <w:r>
        <w:rPr>
          <w:rFonts w:ascii="Times New Roman" w:hAnsi="Times New Roman" w:eastAsia="仿宋_GB2312"/>
          <w:sz w:val="28"/>
          <w:szCs w:val="28"/>
        </w:rPr>
        <w:t>年一般公共预算拨款“三公经费”年初预算安排</w:t>
      </w:r>
      <w:r>
        <w:rPr>
          <w:rFonts w:hint="eastAsia" w:ascii="Times New Roman" w:hAnsi="Times New Roman" w:eastAsia="仿宋_GB2312"/>
          <w:sz w:val="28"/>
          <w:szCs w:val="28"/>
        </w:rPr>
        <w:t>49.6</w:t>
      </w:r>
      <w:r>
        <w:rPr>
          <w:rFonts w:ascii="Times New Roman" w:hAnsi="Times New Roman" w:eastAsia="仿宋_GB2312"/>
          <w:sz w:val="28"/>
          <w:szCs w:val="28"/>
        </w:rPr>
        <w:t>万元</w:t>
      </w:r>
      <w:r>
        <w:rPr>
          <w:rFonts w:hint="eastAsia" w:ascii="Times New Roman" w:hAnsi="Times New Roman" w:eastAsia="仿宋_GB2312"/>
          <w:sz w:val="28"/>
          <w:szCs w:val="28"/>
        </w:rPr>
        <w:t>，</w:t>
      </w:r>
      <w:r>
        <w:rPr>
          <w:rFonts w:ascii="Times New Roman" w:hAnsi="Times New Roman" w:eastAsia="仿宋_GB2312"/>
          <w:sz w:val="28"/>
          <w:szCs w:val="28"/>
        </w:rPr>
        <w:t xml:space="preserve">实际支出 </w:t>
      </w:r>
      <w:r>
        <w:rPr>
          <w:rFonts w:hint="eastAsia" w:ascii="Times New Roman" w:hAnsi="Times New Roman" w:eastAsia="仿宋_GB2312"/>
          <w:sz w:val="28"/>
          <w:szCs w:val="28"/>
        </w:rPr>
        <w:t>49.41</w:t>
      </w:r>
      <w:r>
        <w:rPr>
          <w:rFonts w:ascii="Times New Roman" w:hAnsi="Times New Roman" w:eastAsia="仿宋_GB2312"/>
          <w:sz w:val="28"/>
          <w:szCs w:val="28"/>
        </w:rPr>
        <w:t>万元，“三公经费”控制率为</w:t>
      </w:r>
      <w:r>
        <w:rPr>
          <w:rFonts w:hint="eastAsia" w:ascii="Times New Roman" w:hAnsi="Times New Roman" w:eastAsia="仿宋_GB2312"/>
          <w:sz w:val="28"/>
          <w:szCs w:val="28"/>
        </w:rPr>
        <w:t>99.61</w:t>
      </w:r>
      <w:r>
        <w:rPr>
          <w:rFonts w:ascii="Times New Roman" w:hAnsi="Times New Roman" w:eastAsia="仿宋_GB2312"/>
          <w:sz w:val="28"/>
          <w:szCs w:val="28"/>
        </w:rPr>
        <w:t>%,控制较好。</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（6)部门预决算信息公开:单位在湘西高新技术产业开发区网站上按规定内容公开预决算信息；按规定时限公开预决算信息；基础数据信息和会计信息资料真实、完整、准确。</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（7）招商引资：全年引进“三类500强”企业新投资项目</w:t>
      </w:r>
      <w:r>
        <w:rPr>
          <w:rFonts w:hint="eastAsia" w:ascii="Times New Roman" w:hAnsi="Times New Roman" w:eastAsia="仿宋_GB2312"/>
          <w:sz w:val="28"/>
          <w:szCs w:val="28"/>
        </w:rPr>
        <w:t>4</w:t>
      </w:r>
      <w:r>
        <w:rPr>
          <w:rFonts w:ascii="Times New Roman" w:hAnsi="Times New Roman" w:eastAsia="仿宋_GB2312"/>
          <w:sz w:val="28"/>
          <w:szCs w:val="28"/>
        </w:rPr>
        <w:t>个，完成年任务</w:t>
      </w:r>
      <w:r>
        <w:rPr>
          <w:rFonts w:hint="eastAsia" w:ascii="Times New Roman" w:hAnsi="Times New Roman" w:eastAsia="仿宋_GB2312"/>
          <w:sz w:val="28"/>
          <w:szCs w:val="28"/>
        </w:rPr>
        <w:t>4</w:t>
      </w:r>
      <w:r>
        <w:rPr>
          <w:rFonts w:ascii="Times New Roman" w:hAnsi="Times New Roman" w:eastAsia="仿宋_GB2312"/>
          <w:sz w:val="28"/>
          <w:szCs w:val="28"/>
        </w:rPr>
        <w:t>00%。</w:t>
      </w:r>
    </w:p>
    <w:p>
      <w:pPr>
        <w:spacing w:line="580" w:lineRule="exact"/>
        <w:ind w:firstLine="562" w:firstLineChars="200"/>
        <w:rPr>
          <w:rFonts w:eastAsia="仿宋_GB2312"/>
          <w:b/>
          <w:bCs/>
          <w:sz w:val="28"/>
          <w:szCs w:val="28"/>
        </w:rPr>
      </w:pPr>
      <w:r>
        <w:rPr>
          <w:rFonts w:eastAsia="仿宋_GB2312"/>
          <w:b/>
          <w:bCs/>
          <w:sz w:val="28"/>
          <w:szCs w:val="28"/>
        </w:rPr>
        <w:t>2.取得的效益</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（1）经济效益：①202</w:t>
      </w:r>
      <w:r>
        <w:rPr>
          <w:rFonts w:hint="eastAsia" w:ascii="Times New Roman" w:hAnsi="Times New Roman" w:eastAsia="仿宋_GB2312"/>
          <w:sz w:val="28"/>
          <w:szCs w:val="28"/>
        </w:rPr>
        <w:t>2</w:t>
      </w:r>
      <w:r>
        <w:rPr>
          <w:rFonts w:ascii="Times New Roman" w:hAnsi="Times New Roman" w:eastAsia="仿宋_GB2312"/>
          <w:sz w:val="28"/>
          <w:szCs w:val="28"/>
        </w:rPr>
        <w:t>年实现GDP</w:t>
      </w:r>
      <w:r>
        <w:rPr>
          <w:rFonts w:hint="eastAsia" w:ascii="Times New Roman" w:hAnsi="Times New Roman" w:eastAsia="仿宋_GB2312"/>
          <w:sz w:val="28"/>
          <w:szCs w:val="28"/>
        </w:rPr>
        <w:t>84.6</w:t>
      </w:r>
      <w:r>
        <w:rPr>
          <w:rFonts w:ascii="Times New Roman" w:hAnsi="Times New Roman" w:eastAsia="仿宋_GB2312"/>
          <w:sz w:val="28"/>
          <w:szCs w:val="28"/>
        </w:rPr>
        <w:t>亿元，同比增长</w:t>
      </w:r>
      <w:r>
        <w:rPr>
          <w:rFonts w:hint="eastAsia" w:ascii="Times New Roman" w:hAnsi="Times New Roman" w:eastAsia="仿宋_GB2312"/>
          <w:sz w:val="28"/>
          <w:szCs w:val="28"/>
        </w:rPr>
        <w:t>4.5</w:t>
      </w:r>
      <w:r>
        <w:rPr>
          <w:rFonts w:ascii="Times New Roman" w:hAnsi="Times New Roman" w:eastAsia="仿宋_GB2312"/>
          <w:sz w:val="28"/>
          <w:szCs w:val="28"/>
        </w:rPr>
        <w:t>%。②全年完成固定资产投资</w:t>
      </w:r>
      <w:r>
        <w:rPr>
          <w:rFonts w:hint="eastAsia" w:ascii="Times New Roman" w:hAnsi="Times New Roman" w:eastAsia="仿宋_GB2312"/>
          <w:sz w:val="28"/>
          <w:szCs w:val="28"/>
        </w:rPr>
        <w:t>54.5</w:t>
      </w:r>
      <w:r>
        <w:rPr>
          <w:rFonts w:ascii="Times New Roman" w:hAnsi="Times New Roman" w:eastAsia="仿宋_GB2312"/>
          <w:sz w:val="28"/>
          <w:szCs w:val="28"/>
        </w:rPr>
        <w:t>亿元，同比增长</w:t>
      </w:r>
      <w:r>
        <w:rPr>
          <w:rFonts w:hint="eastAsia" w:ascii="Times New Roman" w:hAnsi="Times New Roman" w:eastAsia="仿宋_GB2312"/>
          <w:sz w:val="28"/>
          <w:szCs w:val="28"/>
        </w:rPr>
        <w:t>1.8</w:t>
      </w:r>
      <w:r>
        <w:rPr>
          <w:rFonts w:ascii="Times New Roman" w:hAnsi="Times New Roman" w:eastAsia="仿宋_GB2312"/>
          <w:sz w:val="28"/>
          <w:szCs w:val="28"/>
        </w:rPr>
        <w:t>%。③完成规模工业增加值</w:t>
      </w:r>
      <w:r>
        <w:rPr>
          <w:rFonts w:hint="eastAsia" w:ascii="Times New Roman" w:hAnsi="Times New Roman" w:eastAsia="仿宋_GB2312"/>
          <w:sz w:val="28"/>
          <w:szCs w:val="28"/>
        </w:rPr>
        <w:t>8.2</w:t>
      </w:r>
      <w:r>
        <w:rPr>
          <w:rFonts w:ascii="Times New Roman" w:hAnsi="Times New Roman" w:eastAsia="仿宋_GB2312"/>
          <w:sz w:val="28"/>
          <w:szCs w:val="28"/>
        </w:rPr>
        <w:t xml:space="preserve">%。④实现财政总收入 </w:t>
      </w:r>
      <w:r>
        <w:rPr>
          <w:rFonts w:hint="eastAsia" w:ascii="Times New Roman" w:hAnsi="Times New Roman" w:eastAsia="仿宋_GB2312"/>
          <w:sz w:val="28"/>
          <w:szCs w:val="28"/>
        </w:rPr>
        <w:t>3.87</w:t>
      </w:r>
      <w:r>
        <w:rPr>
          <w:rFonts w:ascii="Times New Roman" w:hAnsi="Times New Roman" w:eastAsia="仿宋_GB2312"/>
          <w:sz w:val="28"/>
          <w:szCs w:val="28"/>
        </w:rPr>
        <w:t>亿元，同比</w:t>
      </w:r>
      <w:r>
        <w:rPr>
          <w:rFonts w:hint="eastAsia" w:ascii="Times New Roman" w:hAnsi="Times New Roman" w:eastAsia="仿宋_GB2312"/>
          <w:sz w:val="28"/>
          <w:szCs w:val="28"/>
        </w:rPr>
        <w:t>下降32</w:t>
      </w:r>
      <w:r>
        <w:rPr>
          <w:rFonts w:ascii="Times New Roman" w:hAnsi="Times New Roman" w:eastAsia="仿宋_GB2312"/>
          <w:sz w:val="28"/>
          <w:szCs w:val="28"/>
        </w:rPr>
        <w:t>%。⑤引进省外境内资金</w:t>
      </w:r>
      <w:r>
        <w:rPr>
          <w:rFonts w:hint="eastAsia" w:ascii="Times New Roman" w:hAnsi="Times New Roman" w:eastAsia="仿宋_GB2312"/>
          <w:sz w:val="28"/>
          <w:szCs w:val="28"/>
        </w:rPr>
        <w:t>30.08</w:t>
      </w:r>
      <w:r>
        <w:rPr>
          <w:rFonts w:ascii="Times New Roman" w:hAnsi="Times New Roman" w:eastAsia="仿宋_GB2312"/>
          <w:sz w:val="28"/>
          <w:szCs w:val="28"/>
        </w:rPr>
        <w:t>亿元，同比增长</w:t>
      </w:r>
      <w:r>
        <w:rPr>
          <w:rFonts w:hint="eastAsia" w:ascii="Times New Roman" w:hAnsi="Times New Roman" w:eastAsia="仿宋_GB2312"/>
          <w:sz w:val="28"/>
          <w:szCs w:val="28"/>
        </w:rPr>
        <w:t>20.32</w:t>
      </w:r>
      <w:r>
        <w:rPr>
          <w:rFonts w:ascii="Times New Roman" w:hAnsi="Times New Roman" w:eastAsia="仿宋_GB2312"/>
          <w:sz w:val="28"/>
          <w:szCs w:val="28"/>
        </w:rPr>
        <w:t>%。⑥进出口总额</w:t>
      </w:r>
      <w:r>
        <w:rPr>
          <w:rFonts w:hint="eastAsia" w:ascii="Times New Roman" w:hAnsi="Times New Roman" w:eastAsia="仿宋_GB2312"/>
          <w:sz w:val="28"/>
          <w:szCs w:val="28"/>
        </w:rPr>
        <w:t>13.5</w:t>
      </w:r>
      <w:r>
        <w:rPr>
          <w:rFonts w:ascii="Times New Roman" w:hAnsi="Times New Roman" w:eastAsia="仿宋_GB2312"/>
          <w:sz w:val="28"/>
          <w:szCs w:val="28"/>
        </w:rPr>
        <w:t>亿元，同比增长</w:t>
      </w:r>
      <w:r>
        <w:rPr>
          <w:rFonts w:hint="eastAsia" w:ascii="Times New Roman" w:hAnsi="Times New Roman" w:eastAsia="仿宋_GB2312"/>
          <w:sz w:val="28"/>
          <w:szCs w:val="28"/>
        </w:rPr>
        <w:t>20</w:t>
      </w:r>
      <w:r>
        <w:rPr>
          <w:rFonts w:ascii="Times New Roman" w:hAnsi="Times New Roman" w:eastAsia="仿宋_GB2312"/>
          <w:sz w:val="28"/>
          <w:szCs w:val="28"/>
        </w:rPr>
        <w:t>%。</w:t>
      </w:r>
    </w:p>
    <w:p>
      <w:pPr>
        <w:spacing w:line="580" w:lineRule="exact"/>
        <w:ind w:firstLine="562" w:firstLineChars="200"/>
        <w:outlineLvl w:val="1"/>
        <w:rPr>
          <w:rFonts w:ascii="仿宋_GB2312" w:eastAsia="仿宋_GB2312"/>
          <w:b/>
          <w:bCs/>
          <w:sz w:val="28"/>
          <w:szCs w:val="28"/>
        </w:rPr>
      </w:pPr>
      <w:bookmarkStart w:id="15" w:name="_Toc106607027"/>
      <w:r>
        <w:rPr>
          <w:rFonts w:hint="eastAsia" w:ascii="仿宋_GB2312" w:eastAsia="仿宋_GB2312"/>
          <w:b/>
          <w:bCs/>
          <w:sz w:val="28"/>
          <w:szCs w:val="28"/>
        </w:rPr>
        <w:t>（四）运行成本、管理效率、履职效能方面</w:t>
      </w:r>
      <w:bookmarkEnd w:id="15"/>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1.运行成本：本部门编制数162人，年末实有在职在编人员13</w:t>
      </w:r>
      <w:r>
        <w:rPr>
          <w:rFonts w:hint="eastAsia" w:ascii="Times New Roman" w:hAnsi="Times New Roman" w:eastAsia="仿宋_GB2312"/>
          <w:sz w:val="28"/>
          <w:szCs w:val="28"/>
        </w:rPr>
        <w:t>9</w:t>
      </w:r>
      <w:r>
        <w:rPr>
          <w:rFonts w:ascii="Times New Roman" w:hAnsi="Times New Roman" w:eastAsia="仿宋_GB2312"/>
          <w:sz w:val="28"/>
          <w:szCs w:val="28"/>
        </w:rPr>
        <w:t>人，在职人员控制率为</w:t>
      </w:r>
      <w:r>
        <w:rPr>
          <w:rFonts w:hint="eastAsia" w:ascii="Times New Roman" w:hAnsi="Times New Roman" w:eastAsia="仿宋_GB2312"/>
          <w:sz w:val="28"/>
          <w:szCs w:val="28"/>
        </w:rPr>
        <w:t>85.81</w:t>
      </w:r>
      <w:r>
        <w:rPr>
          <w:rFonts w:ascii="Times New Roman" w:hAnsi="Times New Roman" w:eastAsia="仿宋_GB2312"/>
          <w:sz w:val="28"/>
          <w:szCs w:val="28"/>
        </w:rPr>
        <w:t>%，无超编人员。一般公共预算“三公经费”年初预算数</w:t>
      </w:r>
      <w:r>
        <w:rPr>
          <w:rFonts w:hint="eastAsia" w:ascii="Times New Roman" w:hAnsi="Times New Roman" w:eastAsia="仿宋_GB2312"/>
          <w:sz w:val="28"/>
          <w:szCs w:val="28"/>
        </w:rPr>
        <w:t>49.6</w:t>
      </w:r>
      <w:r>
        <w:rPr>
          <w:rFonts w:ascii="Times New Roman" w:hAnsi="Times New Roman" w:eastAsia="仿宋_GB2312"/>
          <w:sz w:val="28"/>
          <w:szCs w:val="28"/>
        </w:rPr>
        <w:t>万元，实际支出</w:t>
      </w:r>
      <w:r>
        <w:rPr>
          <w:rFonts w:hint="eastAsia" w:ascii="Times New Roman" w:hAnsi="Times New Roman" w:eastAsia="仿宋_GB2312"/>
          <w:sz w:val="28"/>
          <w:szCs w:val="28"/>
        </w:rPr>
        <w:t>49.41</w:t>
      </w:r>
      <w:r>
        <w:rPr>
          <w:rFonts w:ascii="Times New Roman" w:hAnsi="Times New Roman" w:eastAsia="仿宋_GB2312"/>
          <w:sz w:val="28"/>
          <w:szCs w:val="28"/>
        </w:rPr>
        <w:t>万元，比年初预算减少</w:t>
      </w:r>
      <w:r>
        <w:rPr>
          <w:rFonts w:hint="eastAsia" w:ascii="Times New Roman" w:hAnsi="Times New Roman" w:eastAsia="仿宋_GB2312"/>
          <w:sz w:val="28"/>
          <w:szCs w:val="28"/>
        </w:rPr>
        <w:t>0.19</w:t>
      </w:r>
      <w:r>
        <w:rPr>
          <w:rFonts w:ascii="Times New Roman" w:hAnsi="Times New Roman" w:eastAsia="仿宋_GB2312"/>
          <w:sz w:val="28"/>
          <w:szCs w:val="28"/>
        </w:rPr>
        <w:t>万元，“三公经费”控制率为</w:t>
      </w:r>
      <w:r>
        <w:rPr>
          <w:rFonts w:hint="eastAsia" w:ascii="Times New Roman" w:hAnsi="Times New Roman" w:eastAsia="仿宋_GB2312"/>
          <w:sz w:val="28"/>
          <w:szCs w:val="28"/>
        </w:rPr>
        <w:t>99.62</w:t>
      </w:r>
      <w:r>
        <w:rPr>
          <w:rFonts w:ascii="Times New Roman" w:hAnsi="Times New Roman" w:eastAsia="仿宋_GB2312"/>
          <w:sz w:val="28"/>
          <w:szCs w:val="28"/>
        </w:rPr>
        <w:t>%，“三公经费”得到较有效控制。一般公共预算支出公用经费年初预算数为</w:t>
      </w:r>
      <w:r>
        <w:rPr>
          <w:rFonts w:hint="eastAsia" w:ascii="Times New Roman" w:hAnsi="Times New Roman" w:eastAsia="仿宋_GB2312"/>
          <w:sz w:val="28"/>
          <w:szCs w:val="28"/>
        </w:rPr>
        <w:t>402.1</w:t>
      </w:r>
      <w:r>
        <w:rPr>
          <w:rFonts w:ascii="Times New Roman" w:hAnsi="Times New Roman" w:eastAsia="仿宋_GB2312"/>
          <w:sz w:val="28"/>
          <w:szCs w:val="28"/>
        </w:rPr>
        <w:t>万元，实际支出数为</w:t>
      </w:r>
      <w:r>
        <w:rPr>
          <w:rFonts w:hint="eastAsia" w:ascii="Times New Roman" w:hAnsi="Times New Roman" w:eastAsia="仿宋_GB2312"/>
          <w:sz w:val="28"/>
          <w:szCs w:val="28"/>
        </w:rPr>
        <w:t>281.45</w:t>
      </w:r>
      <w:r>
        <w:rPr>
          <w:rFonts w:ascii="Times New Roman" w:hAnsi="Times New Roman" w:eastAsia="仿宋_GB2312"/>
          <w:sz w:val="28"/>
          <w:szCs w:val="28"/>
        </w:rPr>
        <w:t>万元，公用经费控制率为100%，公用经费控制率为</w:t>
      </w:r>
      <w:r>
        <w:rPr>
          <w:rFonts w:hint="eastAsia" w:ascii="Times New Roman" w:hAnsi="Times New Roman" w:eastAsia="仿宋_GB2312"/>
          <w:sz w:val="28"/>
          <w:szCs w:val="28"/>
        </w:rPr>
        <w:t>70</w:t>
      </w:r>
      <w:r>
        <w:rPr>
          <w:rFonts w:ascii="Times New Roman" w:hAnsi="Times New Roman" w:eastAsia="仿宋_GB2312"/>
          <w:sz w:val="28"/>
          <w:szCs w:val="28"/>
        </w:rPr>
        <w:t>%，公用经费得到有效控制。</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2.管理效率：在全州率先开展园区赋权工作，积极推进赋权事项落地。全面推行“三化六制”，不断提升行政审批效率，“非接触式服务”、企业开办“零成本”“零费用”等工作走在全州前列，实现政务服务事项“集中办、快速办、帮代办、零开办、网上办”,提高办事效率。</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3.履职效能：本部门深入开展党史学习教育，强化公仆意识，把百年党史蕴含的经验和智慧转化为攻坚克难、干事创业的务实举措，不断激发广大党员干部的奋斗热情和担当精神，不断发挥基层党组织战斗堡垒作用、党员先锋模范作用和党员领导干部表率作用。加强经费及资产管理，并制定了严格的内部控制制度，积极推动网上办事，降低了行政成本，同时也提高了办事效率。</w:t>
      </w:r>
    </w:p>
    <w:p>
      <w:pPr>
        <w:spacing w:line="580" w:lineRule="exact"/>
        <w:ind w:firstLine="562" w:firstLineChars="200"/>
        <w:outlineLvl w:val="1"/>
        <w:rPr>
          <w:rFonts w:ascii="仿宋_GB2312" w:eastAsia="仿宋_GB2312"/>
          <w:b/>
          <w:bCs/>
          <w:sz w:val="28"/>
          <w:szCs w:val="28"/>
        </w:rPr>
      </w:pPr>
      <w:bookmarkStart w:id="16" w:name="_Toc106607028"/>
      <w:r>
        <w:rPr>
          <w:rFonts w:hint="eastAsia" w:ascii="仿宋_GB2312" w:eastAsia="仿宋_GB2312"/>
          <w:b/>
          <w:bCs/>
          <w:sz w:val="28"/>
          <w:szCs w:val="28"/>
        </w:rPr>
        <w:t>（五）社会效应、可持续发展能力和服务对象满意度方面</w:t>
      </w:r>
      <w:bookmarkEnd w:id="16"/>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1.社会效应和可持续发展能力</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202</w:t>
      </w:r>
      <w:r>
        <w:rPr>
          <w:rFonts w:hint="eastAsia" w:ascii="Times New Roman" w:hAnsi="Times New Roman" w:eastAsia="仿宋_GB2312"/>
          <w:sz w:val="28"/>
          <w:szCs w:val="28"/>
        </w:rPr>
        <w:t>2</w:t>
      </w:r>
      <w:r>
        <w:rPr>
          <w:rFonts w:ascii="Times New Roman" w:hAnsi="Times New Roman" w:eastAsia="仿宋_GB2312"/>
          <w:sz w:val="28"/>
          <w:szCs w:val="28"/>
        </w:rPr>
        <w:t>年度根据财政预算资金安排，加强了队伍的思想建设，队伍的综合素质得到了较大提升。加大了基础设施建设,提高人民群众生活幸福指数，优化了营商环境，促进了经济发展。本部门的知名度，社会影响不断扩大，提升湘西高新区可持续发展能力。</w:t>
      </w:r>
    </w:p>
    <w:p>
      <w:pPr>
        <w:pStyle w:val="23"/>
        <w:widowControl/>
        <w:spacing w:line="580" w:lineRule="exact"/>
        <w:ind w:firstLine="560"/>
        <w:rPr>
          <w:rFonts w:ascii="Times New Roman" w:hAnsi="Times New Roman" w:eastAsia="仿宋_GB2312"/>
          <w:sz w:val="28"/>
          <w:szCs w:val="28"/>
        </w:rPr>
      </w:pPr>
      <w:r>
        <w:rPr>
          <w:rFonts w:ascii="Times New Roman" w:hAnsi="Times New Roman" w:eastAsia="仿宋_GB2312"/>
          <w:sz w:val="28"/>
          <w:szCs w:val="28"/>
        </w:rPr>
        <w:t>2.服务对象满意度：通过对本部门各项工作的了解程度、本部门工作人员的工作效率等进行调查了解，社会各界对本部门工作的满意度为9</w:t>
      </w:r>
      <w:r>
        <w:rPr>
          <w:rFonts w:hint="eastAsia" w:ascii="Times New Roman" w:hAnsi="Times New Roman" w:eastAsia="仿宋_GB2312"/>
          <w:sz w:val="28"/>
          <w:szCs w:val="28"/>
        </w:rPr>
        <w:t>5</w:t>
      </w:r>
      <w:r>
        <w:rPr>
          <w:rFonts w:ascii="Times New Roman" w:hAnsi="Times New Roman" w:eastAsia="仿宋_GB2312"/>
          <w:sz w:val="28"/>
          <w:szCs w:val="28"/>
        </w:rPr>
        <w:t>%。</w:t>
      </w:r>
    </w:p>
    <w:p>
      <w:pPr>
        <w:spacing w:line="580" w:lineRule="exact"/>
        <w:ind w:firstLine="643" w:firstLineChars="200"/>
        <w:outlineLvl w:val="0"/>
        <w:rPr>
          <w:rFonts w:ascii="仿宋_GB2312" w:eastAsia="仿宋_GB2312"/>
          <w:b/>
          <w:bCs/>
          <w:sz w:val="32"/>
          <w:szCs w:val="32"/>
        </w:rPr>
      </w:pPr>
      <w:bookmarkStart w:id="17" w:name="_Toc106607029"/>
      <w:r>
        <w:rPr>
          <w:rFonts w:hint="eastAsia" w:ascii="仿宋_GB2312" w:eastAsia="仿宋_GB2312"/>
          <w:b/>
          <w:bCs/>
          <w:sz w:val="32"/>
          <w:szCs w:val="32"/>
        </w:rPr>
        <w:t>七、综合评价情况及评价结论</w:t>
      </w:r>
      <w:bookmarkEnd w:id="17"/>
    </w:p>
    <w:p>
      <w:pPr>
        <w:pStyle w:val="23"/>
        <w:widowControl/>
        <w:spacing w:line="580" w:lineRule="exact"/>
        <w:ind w:firstLine="560"/>
        <w:rPr>
          <w:rFonts w:ascii="Times New Roman" w:hAnsi="Times New Roman" w:eastAsia="仿宋_GB2312" w:cs="仿宋_GB2312"/>
          <w:sz w:val="28"/>
          <w:szCs w:val="28"/>
        </w:rPr>
      </w:pPr>
      <w:r>
        <w:rPr>
          <w:rFonts w:hint="eastAsia" w:ascii="Times New Roman" w:hAnsi="Times New Roman" w:eastAsia="仿宋_GB2312" w:cs="仿宋_GB2312"/>
          <w:sz w:val="28"/>
          <w:szCs w:val="28"/>
        </w:rPr>
        <w:t>2022年度本部门部门整体绩效目标均已基本完成；部门组织管理和财务管理健全规范，未发生违法违规问题；经济和社会效益较显著。根据州级预算部门整体支出绩效自评表测算，本部门部门整体支出绩效评价得分是89.34分（详见附件2：州级预算部门整体支出绩效自评表）。评价结果等次为“良”。</w:t>
      </w:r>
    </w:p>
    <w:p>
      <w:pPr>
        <w:spacing w:line="580" w:lineRule="exact"/>
        <w:ind w:firstLine="643" w:firstLineChars="200"/>
        <w:outlineLvl w:val="0"/>
        <w:rPr>
          <w:rFonts w:ascii="仿宋_GB2312" w:eastAsia="仿宋_GB2312"/>
          <w:b/>
          <w:bCs/>
          <w:sz w:val="32"/>
          <w:szCs w:val="32"/>
        </w:rPr>
      </w:pPr>
      <w:bookmarkStart w:id="18" w:name="_Toc106607030"/>
      <w:r>
        <w:rPr>
          <w:rFonts w:hint="eastAsia" w:ascii="仿宋_GB2312" w:eastAsia="仿宋_GB2312"/>
          <w:b/>
          <w:bCs/>
          <w:sz w:val="32"/>
          <w:szCs w:val="32"/>
        </w:rPr>
        <w:t>八、主要经验做法、存在的问题及原因分析</w:t>
      </w:r>
      <w:bookmarkEnd w:id="18"/>
    </w:p>
    <w:p>
      <w:pPr>
        <w:autoSpaceDE w:val="0"/>
        <w:autoSpaceDN w:val="0"/>
        <w:adjustRightInd w:val="0"/>
        <w:spacing w:line="580" w:lineRule="exact"/>
        <w:ind w:firstLine="562" w:firstLineChars="200"/>
        <w:rPr>
          <w:rFonts w:eastAsia="仿宋_GB2312" w:cs="仿宋_GB2312"/>
          <w:sz w:val="28"/>
          <w:szCs w:val="28"/>
        </w:rPr>
      </w:pPr>
      <w:bookmarkStart w:id="19" w:name="_Toc106607031"/>
      <w:r>
        <w:rPr>
          <w:rFonts w:hint="eastAsia" w:eastAsia="仿宋_GB2312" w:cs="仿宋_GB2312"/>
          <w:b/>
          <w:bCs/>
          <w:sz w:val="28"/>
          <w:szCs w:val="28"/>
        </w:rPr>
        <w:t>（一）主要经验做法</w:t>
      </w:r>
      <w:bookmarkEnd w:id="19"/>
    </w:p>
    <w:p>
      <w:pPr>
        <w:autoSpaceDE w:val="0"/>
        <w:autoSpaceDN w:val="0"/>
        <w:adjustRightInd w:val="0"/>
        <w:spacing w:line="580" w:lineRule="exact"/>
        <w:ind w:firstLine="560" w:firstLineChars="200"/>
        <w:rPr>
          <w:rFonts w:eastAsia="仿宋_GB2312" w:cs="仿宋_GB2312"/>
          <w:sz w:val="28"/>
          <w:szCs w:val="28"/>
        </w:rPr>
      </w:pPr>
      <w:r>
        <w:rPr>
          <w:rFonts w:hint="eastAsia" w:eastAsia="仿宋_GB2312" w:cs="仿宋_GB2312"/>
          <w:sz w:val="28"/>
          <w:szCs w:val="28"/>
        </w:rPr>
        <w:t>本部门对部门整体支出绩效目标考核工作高度重视，把它作为提高资金使用效益、提高行政效能的重要手段。2022年度，本部门根据《中共湘西高新区工作委员会办公室 湘西高新区管理委员会办公室关于印发&lt;湘西高新区2022年五个文明建设绩效考核管理实施方案&gt;的通知》(高新区办发【2023】2号)文件精神，扎实开展绩效考核工作，在绩效考核领导小组的领导下，进一步完善绩效考核管理办法，对年初绩效目标全程抓实管理工作，绩效考核的导向、激励和监督作用得到有效发挥，有力助推了本部门年度工作任务的全面完成和高质量发展，有力推动了年度部门整体绩效目标的优质完成。</w:t>
      </w:r>
    </w:p>
    <w:p>
      <w:pPr>
        <w:numPr>
          <w:ilvl w:val="0"/>
          <w:numId w:val="4"/>
        </w:numPr>
        <w:spacing w:line="580" w:lineRule="exact"/>
        <w:ind w:firstLine="562" w:firstLineChars="200"/>
        <w:outlineLvl w:val="1"/>
        <w:rPr>
          <w:rFonts w:ascii="仿宋_GB2312" w:hAnsi="仿宋_GB2312" w:eastAsia="仿宋_GB2312" w:cs="仿宋_GB2312"/>
          <w:b/>
          <w:bCs/>
          <w:sz w:val="28"/>
          <w:szCs w:val="28"/>
        </w:rPr>
      </w:pPr>
      <w:bookmarkStart w:id="20" w:name="_Toc106607032"/>
      <w:r>
        <w:rPr>
          <w:rFonts w:hint="eastAsia" w:ascii="仿宋_GB2312" w:hAnsi="仿宋_GB2312" w:eastAsia="仿宋_GB2312" w:cs="仿宋_GB2312"/>
          <w:b/>
          <w:bCs/>
          <w:sz w:val="28"/>
          <w:szCs w:val="28"/>
        </w:rPr>
        <w:t>存在的问题及原因分析</w:t>
      </w:r>
      <w:bookmarkEnd w:id="20"/>
    </w:p>
    <w:p>
      <w:pPr>
        <w:autoSpaceDE w:val="0"/>
        <w:autoSpaceDN w:val="0"/>
        <w:adjustRightInd w:val="0"/>
        <w:spacing w:line="580" w:lineRule="exact"/>
        <w:ind w:firstLine="560" w:firstLineChars="200"/>
        <w:rPr>
          <w:rFonts w:eastAsia="仿宋_GB2312"/>
          <w:sz w:val="28"/>
          <w:szCs w:val="28"/>
        </w:rPr>
      </w:pPr>
      <w:r>
        <w:rPr>
          <w:rFonts w:eastAsia="仿宋_GB2312"/>
          <w:sz w:val="28"/>
          <w:szCs w:val="28"/>
        </w:rPr>
        <w:t>经本部门对202</w:t>
      </w:r>
      <w:r>
        <w:rPr>
          <w:rFonts w:hint="eastAsia" w:eastAsia="仿宋_GB2312"/>
          <w:sz w:val="28"/>
          <w:szCs w:val="28"/>
        </w:rPr>
        <w:t>2</w:t>
      </w:r>
      <w:r>
        <w:rPr>
          <w:rFonts w:eastAsia="仿宋_GB2312"/>
          <w:sz w:val="28"/>
          <w:szCs w:val="28"/>
        </w:rPr>
        <w:t>年度部门整体支出绩效自评，按设定的绩效自评指标计分，得分为</w:t>
      </w:r>
      <w:r>
        <w:rPr>
          <w:rFonts w:hint="eastAsia" w:eastAsia="仿宋_GB2312"/>
          <w:sz w:val="28"/>
          <w:szCs w:val="28"/>
        </w:rPr>
        <w:t>89.34</w:t>
      </w:r>
      <w:r>
        <w:rPr>
          <w:rFonts w:eastAsia="仿宋_GB2312"/>
          <w:sz w:val="28"/>
          <w:szCs w:val="28"/>
        </w:rPr>
        <w:t>分，虽已取得了不错的成绩，但部门整体绩效目标任务中亦有少量指标未100%完成。主要为：</w:t>
      </w:r>
    </w:p>
    <w:p>
      <w:pPr>
        <w:autoSpaceDE w:val="0"/>
        <w:autoSpaceDN w:val="0"/>
        <w:adjustRightInd w:val="0"/>
        <w:spacing w:line="580" w:lineRule="exact"/>
        <w:ind w:firstLine="560" w:firstLineChars="200"/>
        <w:rPr>
          <w:rFonts w:eastAsia="仿宋_GB2312"/>
          <w:sz w:val="28"/>
          <w:szCs w:val="28"/>
        </w:rPr>
      </w:pPr>
      <w:r>
        <w:rPr>
          <w:rFonts w:eastAsia="仿宋_GB2312"/>
          <w:sz w:val="28"/>
          <w:szCs w:val="28"/>
        </w:rPr>
        <w:t>1.预算编制缺乏准确性和完整性。主要为因受本级财政财力等影响，年初预算欠准确、欠完整，</w:t>
      </w:r>
    </w:p>
    <w:p>
      <w:pPr>
        <w:autoSpaceDE w:val="0"/>
        <w:autoSpaceDN w:val="0"/>
        <w:adjustRightInd w:val="0"/>
        <w:spacing w:line="580" w:lineRule="exact"/>
        <w:ind w:firstLine="560" w:firstLineChars="200"/>
        <w:rPr>
          <w:rFonts w:eastAsia="仿宋_GB2312"/>
          <w:sz w:val="28"/>
          <w:szCs w:val="28"/>
        </w:rPr>
      </w:pPr>
      <w:r>
        <w:rPr>
          <w:rFonts w:hint="eastAsia" w:eastAsia="仿宋_GB2312"/>
          <w:sz w:val="28"/>
          <w:szCs w:val="28"/>
        </w:rPr>
        <w:t>2、受国内经济大环境及疫情影响，本区主要的几个经济指标未能完成预期目标，仅小幅度增长。特别是财政收入还出现了负增长。</w:t>
      </w:r>
    </w:p>
    <w:p>
      <w:pPr>
        <w:spacing w:line="580" w:lineRule="exact"/>
        <w:ind w:firstLine="643" w:firstLineChars="200"/>
        <w:outlineLvl w:val="0"/>
        <w:rPr>
          <w:rFonts w:ascii="仿宋_GB2312" w:eastAsia="仿宋_GB2312"/>
          <w:b/>
          <w:bCs/>
          <w:sz w:val="32"/>
          <w:szCs w:val="32"/>
        </w:rPr>
      </w:pPr>
      <w:bookmarkStart w:id="21" w:name="_Toc106607033"/>
      <w:r>
        <w:rPr>
          <w:rFonts w:hint="eastAsia" w:ascii="仿宋_GB2312" w:eastAsia="仿宋_GB2312"/>
          <w:b/>
          <w:bCs/>
          <w:sz w:val="32"/>
          <w:szCs w:val="32"/>
        </w:rPr>
        <w:t>九、有关建议</w:t>
      </w:r>
      <w:bookmarkEnd w:id="21"/>
    </w:p>
    <w:p>
      <w:pPr>
        <w:pStyle w:val="23"/>
        <w:widowControl/>
        <w:spacing w:line="580" w:lineRule="exact"/>
        <w:ind w:firstLine="560"/>
        <w:rPr>
          <w:rFonts w:ascii="Times New Roman" w:hAnsi="Times New Roman" w:eastAsia="仿宋_GB2312" w:cs="仿宋_GB2312"/>
          <w:sz w:val="28"/>
          <w:szCs w:val="28"/>
        </w:rPr>
      </w:pPr>
      <w:bookmarkStart w:id="22" w:name="_Toc102642391"/>
      <w:r>
        <w:rPr>
          <w:rFonts w:hint="eastAsia" w:ascii="Times New Roman" w:hAnsi="Times New Roman" w:eastAsia="仿宋_GB2312" w:cs="仿宋_GB2312"/>
          <w:sz w:val="28"/>
          <w:szCs w:val="28"/>
        </w:rPr>
        <w:t>一是重视预算编制，提高预算的准确性</w:t>
      </w:r>
      <w:bookmarkEnd w:id="22"/>
      <w:r>
        <w:rPr>
          <w:rFonts w:hint="eastAsia" w:ascii="Times New Roman" w:hAnsi="Times New Roman" w:eastAsia="仿宋_GB2312" w:cs="仿宋_GB2312"/>
          <w:sz w:val="28"/>
          <w:szCs w:val="28"/>
        </w:rPr>
        <w:t>。在编制和审批预算时要根据上年决算及本部门依法履行职能和事业发展的需要以及存量资产情况，结合本部门当年度的事业发展计划、职责和目标任务等，科学合理测算年度收入、支出，据实编制预算，有效避免年初预算与实际执行出现大的偏差，提高预算编制的准确性和全面性，提高预算控制水平。</w:t>
      </w:r>
    </w:p>
    <w:p>
      <w:pPr>
        <w:pStyle w:val="23"/>
        <w:widowControl/>
        <w:spacing w:line="580" w:lineRule="exact"/>
        <w:ind w:firstLine="560"/>
        <w:rPr>
          <w:rFonts w:ascii="Times New Roman" w:hAnsi="Times New Roman" w:eastAsia="仿宋_GB2312" w:cs="仿宋_GB2312"/>
          <w:sz w:val="28"/>
          <w:szCs w:val="28"/>
        </w:rPr>
      </w:pPr>
      <w:r>
        <w:rPr>
          <w:rFonts w:hint="eastAsia" w:ascii="Times New Roman" w:hAnsi="Times New Roman" w:eastAsia="仿宋_GB2312" w:cs="仿宋_GB2312"/>
          <w:sz w:val="28"/>
          <w:szCs w:val="28"/>
        </w:rPr>
        <w:t>二是强化预算执行，提高预算执行率。严格按工作目标和进度要求执行预算，合理安排资金支出，增强预算执行的规范性和严肃性，定期做好预算执行分析，及时了解预算执行差异，合理调整、纠正预算执行偏差，加快预算的执行进度，减少存量资金，切实提高预算执行率及资金使用效益</w:t>
      </w:r>
    </w:p>
    <w:p>
      <w:pPr>
        <w:pStyle w:val="23"/>
        <w:widowControl/>
        <w:spacing w:line="580" w:lineRule="exact"/>
        <w:ind w:firstLine="560"/>
        <w:rPr>
          <w:rFonts w:ascii="Times New Roman" w:hAnsi="Times New Roman" w:eastAsia="仿宋_GB2312" w:cs="仿宋_GB2312"/>
          <w:sz w:val="28"/>
          <w:szCs w:val="28"/>
        </w:rPr>
      </w:pPr>
      <w:r>
        <w:rPr>
          <w:rFonts w:hint="eastAsia" w:ascii="Times New Roman" w:hAnsi="Times New Roman" w:eastAsia="仿宋_GB2312" w:cs="仿宋_GB2312"/>
          <w:sz w:val="28"/>
          <w:szCs w:val="28"/>
        </w:rPr>
        <w:t>三是科学合理制定绩效目标，并强化执行。科学合理制定预算绩效目标，确保绩效目标切合单位及项目实际，并认真落实已定目标，强化监管，牢固树立“任务就是命令，速度就是效益”思想。在规定期间内未完的事项，应分析主客观原因，加强绩效考核，确保绩效目标优质、高效完成。</w:t>
      </w:r>
    </w:p>
    <w:p>
      <w:pPr>
        <w:spacing w:line="580" w:lineRule="exact"/>
        <w:ind w:firstLine="643" w:firstLineChars="200"/>
        <w:outlineLvl w:val="0"/>
        <w:rPr>
          <w:rFonts w:ascii="仿宋_GB2312" w:eastAsia="仿宋_GB2312"/>
          <w:b/>
          <w:bCs/>
          <w:sz w:val="28"/>
          <w:szCs w:val="28"/>
        </w:rPr>
      </w:pPr>
      <w:bookmarkStart w:id="23" w:name="_Toc106607034"/>
      <w:r>
        <w:rPr>
          <w:rFonts w:hint="eastAsia" w:ascii="仿宋_GB2312" w:eastAsia="仿宋_GB2312"/>
          <w:b/>
          <w:bCs/>
          <w:sz w:val="32"/>
          <w:szCs w:val="32"/>
        </w:rPr>
        <w:t>十、绩效自评结果拟应用和公开情况</w:t>
      </w:r>
      <w:bookmarkEnd w:id="23"/>
    </w:p>
    <w:p>
      <w:pPr>
        <w:autoSpaceDE w:val="0"/>
        <w:autoSpaceDN w:val="0"/>
        <w:adjustRightInd w:val="0"/>
        <w:spacing w:line="580" w:lineRule="exact"/>
        <w:ind w:firstLine="560" w:firstLineChars="200"/>
        <w:rPr>
          <w:rFonts w:eastAsia="仿宋_GB2312" w:cs="仿宋_GB2312"/>
          <w:sz w:val="28"/>
          <w:szCs w:val="28"/>
        </w:rPr>
      </w:pPr>
      <w:r>
        <w:rPr>
          <w:rFonts w:hint="eastAsia" w:eastAsia="仿宋_GB2312" w:cs="仿宋_GB2312"/>
          <w:sz w:val="28"/>
          <w:szCs w:val="28"/>
        </w:rPr>
        <w:t>本部门拟按照低效压减、无效问责的原则，将绩效评价自评结果融入到预算编制、年度考核等日常管理中，切实增强财政资金使用效益，提高部门资金管理水平。部门整体支出绩效自评报告拟在2023年6月30日前在州级预决算公开平台及本部门门户网站上全文公开，接受社会公众监督。</w:t>
      </w:r>
    </w:p>
    <w:p>
      <w:pPr>
        <w:spacing w:line="580" w:lineRule="exact"/>
        <w:ind w:firstLine="643" w:firstLineChars="200"/>
        <w:outlineLvl w:val="0"/>
        <w:rPr>
          <w:rFonts w:ascii="仿宋_GB2312" w:eastAsia="仿宋_GB2312"/>
          <w:b/>
          <w:bCs/>
          <w:sz w:val="32"/>
          <w:szCs w:val="32"/>
        </w:rPr>
      </w:pPr>
      <w:bookmarkStart w:id="24" w:name="_Toc106607035"/>
      <w:r>
        <w:rPr>
          <w:rFonts w:hint="eastAsia" w:ascii="仿宋_GB2312" w:eastAsia="仿宋_GB2312"/>
          <w:b/>
          <w:bCs/>
          <w:sz w:val="32"/>
          <w:szCs w:val="32"/>
        </w:rPr>
        <w:t>十一、其他需要说明的问题</w:t>
      </w:r>
      <w:bookmarkEnd w:id="24"/>
    </w:p>
    <w:p>
      <w:pPr>
        <w:autoSpaceDE w:val="0"/>
        <w:autoSpaceDN w:val="0"/>
        <w:adjustRightInd w:val="0"/>
        <w:spacing w:line="580" w:lineRule="exact"/>
        <w:ind w:firstLine="560" w:firstLineChars="200"/>
        <w:rPr>
          <w:rFonts w:eastAsia="仿宋_GB2312" w:cs="仿宋_GB2312"/>
          <w:sz w:val="28"/>
          <w:szCs w:val="28"/>
        </w:rPr>
      </w:pPr>
      <w:r>
        <w:rPr>
          <w:rFonts w:hint="eastAsia" w:eastAsia="仿宋_GB2312" w:cs="仿宋_GB2312"/>
          <w:sz w:val="28"/>
          <w:szCs w:val="28"/>
        </w:rPr>
        <w:t xml:space="preserve"> 1.根据财政部《关于印发&lt;政府会计准则制度解释第4号&gt;的通知》（财会〔2021〕33号），市县级财政国库集中支付结余不再按权责发生制列支，对期末财政应返还额度不再进行账务处理，本次部门整体支出绩效评价全年预算数21411.37万元系以决算报表决算数为准，未包含未入账的本年财政应还返额度。</w:t>
      </w:r>
    </w:p>
    <w:p>
      <w:pPr>
        <w:autoSpaceDE w:val="0"/>
        <w:autoSpaceDN w:val="0"/>
        <w:adjustRightInd w:val="0"/>
        <w:spacing w:line="580" w:lineRule="exact"/>
        <w:ind w:firstLine="560" w:firstLineChars="200"/>
        <w:rPr>
          <w:rFonts w:eastAsia="仿宋_GB2312" w:cs="仿宋_GB2312"/>
          <w:sz w:val="28"/>
          <w:szCs w:val="28"/>
        </w:rPr>
      </w:pPr>
      <w:r>
        <w:rPr>
          <w:rFonts w:hint="eastAsia" w:eastAsia="仿宋_GB2312" w:cs="仿宋_GB2312"/>
          <w:sz w:val="28"/>
          <w:szCs w:val="28"/>
        </w:rPr>
        <w:t>2.在职人员控制率计算，在职人员数系以在编在职人员数计算，未包含其他人员38人（一般公共预算财政拨款补助开支人员）。</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3"/>
      </w:pPr>
    </w:p>
    <w:p>
      <w:pPr>
        <w:spacing w:line="60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湘西高新技术产业开发区管理委员会</w:t>
      </w:r>
    </w:p>
    <w:p>
      <w:pPr>
        <w:spacing w:line="600" w:lineRule="exact"/>
        <w:ind w:firstLine="560" w:firstLineChars="200"/>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202</w:t>
      </w:r>
      <w:r>
        <w:rPr>
          <w:rFonts w:hint="eastAsia" w:eastAsia="仿宋_GB2312"/>
          <w:sz w:val="28"/>
          <w:szCs w:val="28"/>
        </w:rPr>
        <w:t>3</w:t>
      </w:r>
      <w:r>
        <w:rPr>
          <w:rFonts w:eastAsia="仿宋_GB2312"/>
          <w:sz w:val="28"/>
          <w:szCs w:val="28"/>
        </w:rPr>
        <w:t>年6月</w:t>
      </w:r>
      <w:r>
        <w:rPr>
          <w:rFonts w:hint="eastAsia" w:eastAsia="仿宋_GB2312"/>
          <w:sz w:val="28"/>
          <w:szCs w:val="28"/>
        </w:rPr>
        <w:t>19</w:t>
      </w:r>
      <w:r>
        <w:rPr>
          <w:rFonts w:eastAsia="仿宋_GB2312"/>
          <w:sz w:val="28"/>
          <w:szCs w:val="28"/>
        </w:rPr>
        <w:t>日</w:t>
      </w:r>
    </w:p>
    <w:p/>
    <w:sectPr>
      <w:footerReference r:id="rId6" w:type="default"/>
      <w:pgSz w:w="11905" w:h="16837"/>
      <w:pgMar w:top="1418" w:right="1531" w:bottom="1985" w:left="1531" w:header="851" w:footer="1134"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7"/>
      </w:rPr>
    </w:pPr>
    <w:r>
      <w:fldChar w:fldCharType="begin"/>
    </w:r>
    <w:r>
      <w:rPr>
        <w:rStyle w:val="1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5091152"/>
    </w:sdtPr>
    <w:sdtContent>
      <w:p>
        <w:pPr>
          <w:pStyle w:val="2"/>
          <w:jc w:val="center"/>
        </w:pPr>
        <w:r>
          <w:fldChar w:fldCharType="begin"/>
        </w:r>
        <w:r>
          <w:instrText xml:space="preserve">PAGE   \* MERGEFORMAT</w:instrText>
        </w:r>
        <w:r>
          <w:fldChar w:fldCharType="separate"/>
        </w:r>
        <w:r>
          <w:rPr>
            <w:lang w:val="zh-CN"/>
          </w:rPr>
          <w:t>-</w:t>
        </w:r>
        <w:r>
          <w:t xml:space="preserve"> 12 -</w:t>
        </w:r>
        <w:r>
          <w:fldChar w:fldCharType="end"/>
        </w:r>
      </w:p>
    </w:sdtContent>
  </w:sdt>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31D81"/>
    <w:multiLevelType w:val="singleLevel"/>
    <w:tmpl w:val="BDD31D81"/>
    <w:lvl w:ilvl="0" w:tentative="0">
      <w:start w:val="2"/>
      <w:numFmt w:val="chineseCounting"/>
      <w:suff w:val="nothing"/>
      <w:lvlText w:val="（%1）"/>
      <w:lvlJc w:val="left"/>
      <w:rPr>
        <w:rFonts w:hint="eastAsia"/>
      </w:rPr>
    </w:lvl>
  </w:abstractNum>
  <w:abstractNum w:abstractNumId="1">
    <w:nsid w:val="C49E696E"/>
    <w:multiLevelType w:val="singleLevel"/>
    <w:tmpl w:val="C49E696E"/>
    <w:lvl w:ilvl="0" w:tentative="0">
      <w:start w:val="2"/>
      <w:numFmt w:val="chineseCounting"/>
      <w:suff w:val="nothing"/>
      <w:lvlText w:val="%1、"/>
      <w:lvlJc w:val="left"/>
      <w:rPr>
        <w:rFonts w:hint="eastAsia"/>
      </w:rPr>
    </w:lvl>
  </w:abstractNum>
  <w:abstractNum w:abstractNumId="2">
    <w:nsid w:val="17FBBEB6"/>
    <w:multiLevelType w:val="singleLevel"/>
    <w:tmpl w:val="17FBBEB6"/>
    <w:lvl w:ilvl="0" w:tentative="0">
      <w:start w:val="3"/>
      <w:numFmt w:val="chineseCounting"/>
      <w:suff w:val="nothing"/>
      <w:lvlText w:val="%1、"/>
      <w:lvlJc w:val="left"/>
      <w:rPr>
        <w:rFonts w:hint="eastAsia"/>
      </w:rPr>
    </w:lvl>
  </w:abstractNum>
  <w:abstractNum w:abstractNumId="3">
    <w:nsid w:val="62AA2E51"/>
    <w:multiLevelType w:val="singleLevel"/>
    <w:tmpl w:val="62AA2E51"/>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UzZDIwZWJmZTFiZWIyN2RjYWVlMTE2ZGM5MGU0ODIifQ=="/>
  </w:docVars>
  <w:rsids>
    <w:rsidRoot w:val="09A42FA0"/>
    <w:rsid w:val="00006E39"/>
    <w:rsid w:val="00036FF5"/>
    <w:rsid w:val="000445CD"/>
    <w:rsid w:val="00082D3E"/>
    <w:rsid w:val="0009411D"/>
    <w:rsid w:val="000A0021"/>
    <w:rsid w:val="000B422F"/>
    <w:rsid w:val="000B7C73"/>
    <w:rsid w:val="000C2924"/>
    <w:rsid w:val="000C5238"/>
    <w:rsid w:val="000F7664"/>
    <w:rsid w:val="00101C17"/>
    <w:rsid w:val="00107E2C"/>
    <w:rsid w:val="00137C9A"/>
    <w:rsid w:val="00152BF1"/>
    <w:rsid w:val="00166440"/>
    <w:rsid w:val="001A6739"/>
    <w:rsid w:val="001E1139"/>
    <w:rsid w:val="002261ED"/>
    <w:rsid w:val="00244695"/>
    <w:rsid w:val="0026054A"/>
    <w:rsid w:val="00277779"/>
    <w:rsid w:val="002B24B0"/>
    <w:rsid w:val="002D75CA"/>
    <w:rsid w:val="003539B6"/>
    <w:rsid w:val="003833BA"/>
    <w:rsid w:val="003B0F69"/>
    <w:rsid w:val="003C3A9D"/>
    <w:rsid w:val="003F6D82"/>
    <w:rsid w:val="004502E5"/>
    <w:rsid w:val="00452545"/>
    <w:rsid w:val="0048461A"/>
    <w:rsid w:val="00487837"/>
    <w:rsid w:val="00492A05"/>
    <w:rsid w:val="00495BAC"/>
    <w:rsid w:val="004B4DA0"/>
    <w:rsid w:val="004F3D1F"/>
    <w:rsid w:val="004F7174"/>
    <w:rsid w:val="00521645"/>
    <w:rsid w:val="00542C10"/>
    <w:rsid w:val="00566AE4"/>
    <w:rsid w:val="00587216"/>
    <w:rsid w:val="00596233"/>
    <w:rsid w:val="005B238E"/>
    <w:rsid w:val="0062263B"/>
    <w:rsid w:val="006237FD"/>
    <w:rsid w:val="006309AC"/>
    <w:rsid w:val="00682DA5"/>
    <w:rsid w:val="00714AE6"/>
    <w:rsid w:val="00740AE1"/>
    <w:rsid w:val="00764324"/>
    <w:rsid w:val="007773F3"/>
    <w:rsid w:val="0078045A"/>
    <w:rsid w:val="007E7735"/>
    <w:rsid w:val="007F22BD"/>
    <w:rsid w:val="007F7B05"/>
    <w:rsid w:val="00800960"/>
    <w:rsid w:val="008248D6"/>
    <w:rsid w:val="00831067"/>
    <w:rsid w:val="00834B2B"/>
    <w:rsid w:val="0087001A"/>
    <w:rsid w:val="008B27FA"/>
    <w:rsid w:val="00936C05"/>
    <w:rsid w:val="00950C1A"/>
    <w:rsid w:val="009517D7"/>
    <w:rsid w:val="00956AFF"/>
    <w:rsid w:val="009735DF"/>
    <w:rsid w:val="009825EA"/>
    <w:rsid w:val="00A52E39"/>
    <w:rsid w:val="00A64FB0"/>
    <w:rsid w:val="00A83C16"/>
    <w:rsid w:val="00AA7357"/>
    <w:rsid w:val="00AB7A95"/>
    <w:rsid w:val="00AE726E"/>
    <w:rsid w:val="00AF1E83"/>
    <w:rsid w:val="00B01919"/>
    <w:rsid w:val="00B068B9"/>
    <w:rsid w:val="00B50602"/>
    <w:rsid w:val="00B770B5"/>
    <w:rsid w:val="00B83BBF"/>
    <w:rsid w:val="00BB68B7"/>
    <w:rsid w:val="00BB6BE3"/>
    <w:rsid w:val="00BC3DFE"/>
    <w:rsid w:val="00BE098B"/>
    <w:rsid w:val="00BF2D84"/>
    <w:rsid w:val="00C11537"/>
    <w:rsid w:val="00C24F2E"/>
    <w:rsid w:val="00C506B6"/>
    <w:rsid w:val="00C935EE"/>
    <w:rsid w:val="00C94B84"/>
    <w:rsid w:val="00CB37AE"/>
    <w:rsid w:val="00CF3ECA"/>
    <w:rsid w:val="00D01419"/>
    <w:rsid w:val="00D03965"/>
    <w:rsid w:val="00D35D0F"/>
    <w:rsid w:val="00D432BD"/>
    <w:rsid w:val="00D755CD"/>
    <w:rsid w:val="00E174FE"/>
    <w:rsid w:val="00E33E15"/>
    <w:rsid w:val="00EA38A0"/>
    <w:rsid w:val="00EA798A"/>
    <w:rsid w:val="00EB3D17"/>
    <w:rsid w:val="00EE67C9"/>
    <w:rsid w:val="00F409BF"/>
    <w:rsid w:val="00F7504C"/>
    <w:rsid w:val="00F85A4F"/>
    <w:rsid w:val="00F93DE1"/>
    <w:rsid w:val="00FD55B8"/>
    <w:rsid w:val="01480AA7"/>
    <w:rsid w:val="015C1FC4"/>
    <w:rsid w:val="02054D6B"/>
    <w:rsid w:val="028B0DA7"/>
    <w:rsid w:val="029E1A75"/>
    <w:rsid w:val="02E47361"/>
    <w:rsid w:val="03335A94"/>
    <w:rsid w:val="033B1098"/>
    <w:rsid w:val="03405EC2"/>
    <w:rsid w:val="03787099"/>
    <w:rsid w:val="03F91273"/>
    <w:rsid w:val="04320805"/>
    <w:rsid w:val="044412A6"/>
    <w:rsid w:val="04785569"/>
    <w:rsid w:val="049563FD"/>
    <w:rsid w:val="04AC7E74"/>
    <w:rsid w:val="04CB407D"/>
    <w:rsid w:val="050160E9"/>
    <w:rsid w:val="0511504E"/>
    <w:rsid w:val="05224801"/>
    <w:rsid w:val="0540540B"/>
    <w:rsid w:val="05537EEC"/>
    <w:rsid w:val="056C13EC"/>
    <w:rsid w:val="05855463"/>
    <w:rsid w:val="058F5925"/>
    <w:rsid w:val="05BC7EB8"/>
    <w:rsid w:val="05F43AE7"/>
    <w:rsid w:val="060F126A"/>
    <w:rsid w:val="0610178C"/>
    <w:rsid w:val="06307C5B"/>
    <w:rsid w:val="064718C5"/>
    <w:rsid w:val="0654228B"/>
    <w:rsid w:val="065E5CBE"/>
    <w:rsid w:val="06602604"/>
    <w:rsid w:val="066F7D33"/>
    <w:rsid w:val="06800D22"/>
    <w:rsid w:val="06850EDD"/>
    <w:rsid w:val="06CE0456"/>
    <w:rsid w:val="07210606"/>
    <w:rsid w:val="07501F3B"/>
    <w:rsid w:val="07606D83"/>
    <w:rsid w:val="077A20B3"/>
    <w:rsid w:val="07AA2751"/>
    <w:rsid w:val="07CE1B09"/>
    <w:rsid w:val="07E55B91"/>
    <w:rsid w:val="07F17146"/>
    <w:rsid w:val="08051EA9"/>
    <w:rsid w:val="080530B8"/>
    <w:rsid w:val="08613EAE"/>
    <w:rsid w:val="087C2901"/>
    <w:rsid w:val="08A86447"/>
    <w:rsid w:val="08EA6AF0"/>
    <w:rsid w:val="08EF3459"/>
    <w:rsid w:val="09017B3F"/>
    <w:rsid w:val="09677742"/>
    <w:rsid w:val="0979794C"/>
    <w:rsid w:val="09A42FA0"/>
    <w:rsid w:val="09FF310C"/>
    <w:rsid w:val="0A1E36F8"/>
    <w:rsid w:val="0A233731"/>
    <w:rsid w:val="0A321687"/>
    <w:rsid w:val="0ACA594D"/>
    <w:rsid w:val="0ADC2987"/>
    <w:rsid w:val="0B2942A6"/>
    <w:rsid w:val="0B34237A"/>
    <w:rsid w:val="0B3B0003"/>
    <w:rsid w:val="0B607816"/>
    <w:rsid w:val="0B6E71E9"/>
    <w:rsid w:val="0B7B5516"/>
    <w:rsid w:val="0B8B315D"/>
    <w:rsid w:val="0BA02D1F"/>
    <w:rsid w:val="0BAD3F26"/>
    <w:rsid w:val="0BB2271F"/>
    <w:rsid w:val="0BE54251"/>
    <w:rsid w:val="0BF94EED"/>
    <w:rsid w:val="0C027B17"/>
    <w:rsid w:val="0C043F94"/>
    <w:rsid w:val="0C19061C"/>
    <w:rsid w:val="0C364379"/>
    <w:rsid w:val="0C3853CD"/>
    <w:rsid w:val="0C6D169A"/>
    <w:rsid w:val="0C761425"/>
    <w:rsid w:val="0C8A19C1"/>
    <w:rsid w:val="0CCC74CC"/>
    <w:rsid w:val="0CEA0D29"/>
    <w:rsid w:val="0D155311"/>
    <w:rsid w:val="0D504A62"/>
    <w:rsid w:val="0D8C7505"/>
    <w:rsid w:val="0DAE3E56"/>
    <w:rsid w:val="0DAF4B33"/>
    <w:rsid w:val="0DB50A9F"/>
    <w:rsid w:val="0E0A1965"/>
    <w:rsid w:val="0E1E6A77"/>
    <w:rsid w:val="0E2F2685"/>
    <w:rsid w:val="0E44083A"/>
    <w:rsid w:val="0E4470BF"/>
    <w:rsid w:val="0E474927"/>
    <w:rsid w:val="0E5071AF"/>
    <w:rsid w:val="0E835412"/>
    <w:rsid w:val="0E897401"/>
    <w:rsid w:val="0EA7536D"/>
    <w:rsid w:val="0ECF78C1"/>
    <w:rsid w:val="0F363D2A"/>
    <w:rsid w:val="0F684D01"/>
    <w:rsid w:val="0F7D00C1"/>
    <w:rsid w:val="0F924551"/>
    <w:rsid w:val="0F934ECF"/>
    <w:rsid w:val="0FE23832"/>
    <w:rsid w:val="100E7791"/>
    <w:rsid w:val="10390C44"/>
    <w:rsid w:val="103C1EBB"/>
    <w:rsid w:val="10834473"/>
    <w:rsid w:val="10AC726F"/>
    <w:rsid w:val="10B03BB0"/>
    <w:rsid w:val="10ED7CE2"/>
    <w:rsid w:val="10F450B5"/>
    <w:rsid w:val="114825D4"/>
    <w:rsid w:val="116D78D8"/>
    <w:rsid w:val="117A0D57"/>
    <w:rsid w:val="118A7C50"/>
    <w:rsid w:val="118F501E"/>
    <w:rsid w:val="11BF50E8"/>
    <w:rsid w:val="11D8611D"/>
    <w:rsid w:val="123E5807"/>
    <w:rsid w:val="124C00E7"/>
    <w:rsid w:val="125545AE"/>
    <w:rsid w:val="12741B1A"/>
    <w:rsid w:val="129C0975"/>
    <w:rsid w:val="12FB36C4"/>
    <w:rsid w:val="132035FB"/>
    <w:rsid w:val="13345DCA"/>
    <w:rsid w:val="135A4C03"/>
    <w:rsid w:val="135B30E4"/>
    <w:rsid w:val="13667949"/>
    <w:rsid w:val="13A435F4"/>
    <w:rsid w:val="13C976CD"/>
    <w:rsid w:val="13DC6B11"/>
    <w:rsid w:val="14145FBD"/>
    <w:rsid w:val="141621F4"/>
    <w:rsid w:val="147638A2"/>
    <w:rsid w:val="14805F2A"/>
    <w:rsid w:val="14AE22C7"/>
    <w:rsid w:val="14B035DF"/>
    <w:rsid w:val="14BC1594"/>
    <w:rsid w:val="14DD3B11"/>
    <w:rsid w:val="15187393"/>
    <w:rsid w:val="152879AC"/>
    <w:rsid w:val="15D562D6"/>
    <w:rsid w:val="15F03F44"/>
    <w:rsid w:val="15F117A1"/>
    <w:rsid w:val="165248BF"/>
    <w:rsid w:val="16612CBF"/>
    <w:rsid w:val="16D25263"/>
    <w:rsid w:val="16E628DD"/>
    <w:rsid w:val="179333DA"/>
    <w:rsid w:val="17D406E2"/>
    <w:rsid w:val="17EA7F8A"/>
    <w:rsid w:val="17FA2E24"/>
    <w:rsid w:val="180C0B89"/>
    <w:rsid w:val="187C5C2D"/>
    <w:rsid w:val="18B7548C"/>
    <w:rsid w:val="18C02D8E"/>
    <w:rsid w:val="18FA3FFB"/>
    <w:rsid w:val="191E0580"/>
    <w:rsid w:val="19263158"/>
    <w:rsid w:val="192D4D75"/>
    <w:rsid w:val="195249C6"/>
    <w:rsid w:val="1959331A"/>
    <w:rsid w:val="1980374F"/>
    <w:rsid w:val="19F14AE5"/>
    <w:rsid w:val="19FF1264"/>
    <w:rsid w:val="1A1C1C21"/>
    <w:rsid w:val="1A3A055B"/>
    <w:rsid w:val="1A452BE9"/>
    <w:rsid w:val="1A4A0D43"/>
    <w:rsid w:val="1A4E61D8"/>
    <w:rsid w:val="1A8105D5"/>
    <w:rsid w:val="1A9E0C37"/>
    <w:rsid w:val="1AB034E2"/>
    <w:rsid w:val="1AF5197B"/>
    <w:rsid w:val="1B35789C"/>
    <w:rsid w:val="1B3E1512"/>
    <w:rsid w:val="1BA40C1F"/>
    <w:rsid w:val="1BA568C0"/>
    <w:rsid w:val="1BC47F73"/>
    <w:rsid w:val="1BCE21F7"/>
    <w:rsid w:val="1BFA5906"/>
    <w:rsid w:val="1C3701AB"/>
    <w:rsid w:val="1C3A0B5F"/>
    <w:rsid w:val="1C8415DA"/>
    <w:rsid w:val="1CF96205"/>
    <w:rsid w:val="1D1F3ED2"/>
    <w:rsid w:val="1D5D1749"/>
    <w:rsid w:val="1D84321C"/>
    <w:rsid w:val="1DF407FD"/>
    <w:rsid w:val="1E1216FF"/>
    <w:rsid w:val="1E163E6C"/>
    <w:rsid w:val="1E1F3AEC"/>
    <w:rsid w:val="1E2C56F3"/>
    <w:rsid w:val="1E4F5FFB"/>
    <w:rsid w:val="1E5E281F"/>
    <w:rsid w:val="1E7305D1"/>
    <w:rsid w:val="1EAB3533"/>
    <w:rsid w:val="1ED61E8A"/>
    <w:rsid w:val="1F60358B"/>
    <w:rsid w:val="1F6320AD"/>
    <w:rsid w:val="1F9752D2"/>
    <w:rsid w:val="1F9E1137"/>
    <w:rsid w:val="1F9E31B0"/>
    <w:rsid w:val="1FA47ECD"/>
    <w:rsid w:val="1FEE0000"/>
    <w:rsid w:val="20117B4D"/>
    <w:rsid w:val="202077C4"/>
    <w:rsid w:val="20581894"/>
    <w:rsid w:val="207B642D"/>
    <w:rsid w:val="20A80AF7"/>
    <w:rsid w:val="20AD2AED"/>
    <w:rsid w:val="20CC12B1"/>
    <w:rsid w:val="20D57209"/>
    <w:rsid w:val="20D951B6"/>
    <w:rsid w:val="20D97711"/>
    <w:rsid w:val="20DE28C7"/>
    <w:rsid w:val="20E633AC"/>
    <w:rsid w:val="2107257B"/>
    <w:rsid w:val="21153001"/>
    <w:rsid w:val="21236723"/>
    <w:rsid w:val="21243A34"/>
    <w:rsid w:val="213B73CF"/>
    <w:rsid w:val="216D12FE"/>
    <w:rsid w:val="21D878C1"/>
    <w:rsid w:val="22A4640D"/>
    <w:rsid w:val="22A87077"/>
    <w:rsid w:val="22CD091F"/>
    <w:rsid w:val="23067748"/>
    <w:rsid w:val="2312006D"/>
    <w:rsid w:val="23150AED"/>
    <w:rsid w:val="232A26E4"/>
    <w:rsid w:val="23893C11"/>
    <w:rsid w:val="239F6F26"/>
    <w:rsid w:val="23A13AD5"/>
    <w:rsid w:val="23B77648"/>
    <w:rsid w:val="23DD0BCB"/>
    <w:rsid w:val="23DF0924"/>
    <w:rsid w:val="23E24977"/>
    <w:rsid w:val="23FB07AB"/>
    <w:rsid w:val="24381CDA"/>
    <w:rsid w:val="246A30F0"/>
    <w:rsid w:val="24800F9C"/>
    <w:rsid w:val="24B41672"/>
    <w:rsid w:val="24BD4D1F"/>
    <w:rsid w:val="24F50906"/>
    <w:rsid w:val="25264498"/>
    <w:rsid w:val="252C3F6A"/>
    <w:rsid w:val="254207D4"/>
    <w:rsid w:val="254965BE"/>
    <w:rsid w:val="25531291"/>
    <w:rsid w:val="257E5648"/>
    <w:rsid w:val="258E175A"/>
    <w:rsid w:val="25F34838"/>
    <w:rsid w:val="2628363C"/>
    <w:rsid w:val="267056E1"/>
    <w:rsid w:val="26953C33"/>
    <w:rsid w:val="26B34E4B"/>
    <w:rsid w:val="26C037A6"/>
    <w:rsid w:val="26C2614F"/>
    <w:rsid w:val="26C82A31"/>
    <w:rsid w:val="26D7573C"/>
    <w:rsid w:val="26DD6932"/>
    <w:rsid w:val="26E31B9C"/>
    <w:rsid w:val="26F764EC"/>
    <w:rsid w:val="271C2EC1"/>
    <w:rsid w:val="27B56B1C"/>
    <w:rsid w:val="27D03955"/>
    <w:rsid w:val="27F86EDA"/>
    <w:rsid w:val="283410AE"/>
    <w:rsid w:val="284754CE"/>
    <w:rsid w:val="28585453"/>
    <w:rsid w:val="28622191"/>
    <w:rsid w:val="287824C0"/>
    <w:rsid w:val="28E93BA6"/>
    <w:rsid w:val="29081343"/>
    <w:rsid w:val="29127719"/>
    <w:rsid w:val="29600664"/>
    <w:rsid w:val="29837B15"/>
    <w:rsid w:val="29A2668B"/>
    <w:rsid w:val="29A6693A"/>
    <w:rsid w:val="29BD3D9F"/>
    <w:rsid w:val="29D32C3D"/>
    <w:rsid w:val="2A0148CA"/>
    <w:rsid w:val="2A1B3AF4"/>
    <w:rsid w:val="2A1F1A87"/>
    <w:rsid w:val="2A233CDE"/>
    <w:rsid w:val="2A8111CC"/>
    <w:rsid w:val="2A961022"/>
    <w:rsid w:val="2AA52F8B"/>
    <w:rsid w:val="2AFC4A5F"/>
    <w:rsid w:val="2AFF5FB5"/>
    <w:rsid w:val="2B0D561F"/>
    <w:rsid w:val="2B6D4755"/>
    <w:rsid w:val="2B870EAC"/>
    <w:rsid w:val="2B921B4F"/>
    <w:rsid w:val="2C461567"/>
    <w:rsid w:val="2C8F52AD"/>
    <w:rsid w:val="2CA016FD"/>
    <w:rsid w:val="2CAE0901"/>
    <w:rsid w:val="2CEF6E91"/>
    <w:rsid w:val="2D474878"/>
    <w:rsid w:val="2D515A3B"/>
    <w:rsid w:val="2D924D8F"/>
    <w:rsid w:val="2DED5DCC"/>
    <w:rsid w:val="2E013DC3"/>
    <w:rsid w:val="2E44474D"/>
    <w:rsid w:val="2E8C447C"/>
    <w:rsid w:val="2E98415D"/>
    <w:rsid w:val="2EAF6358"/>
    <w:rsid w:val="2EBB78A2"/>
    <w:rsid w:val="2EF2668A"/>
    <w:rsid w:val="2F311693"/>
    <w:rsid w:val="2F5E4085"/>
    <w:rsid w:val="2F8D799F"/>
    <w:rsid w:val="2FC214D1"/>
    <w:rsid w:val="2FCA42CD"/>
    <w:rsid w:val="30416386"/>
    <w:rsid w:val="304172DD"/>
    <w:rsid w:val="30641737"/>
    <w:rsid w:val="307F78E5"/>
    <w:rsid w:val="30A713A1"/>
    <w:rsid w:val="30AE68EB"/>
    <w:rsid w:val="30DE5E50"/>
    <w:rsid w:val="30EA36E5"/>
    <w:rsid w:val="3107272E"/>
    <w:rsid w:val="312D18ED"/>
    <w:rsid w:val="31385CC0"/>
    <w:rsid w:val="314C4423"/>
    <w:rsid w:val="315361A6"/>
    <w:rsid w:val="316D7631"/>
    <w:rsid w:val="317072B0"/>
    <w:rsid w:val="323C4534"/>
    <w:rsid w:val="32592CE5"/>
    <w:rsid w:val="328D1EC7"/>
    <w:rsid w:val="32930EFA"/>
    <w:rsid w:val="32A57DA2"/>
    <w:rsid w:val="33002F18"/>
    <w:rsid w:val="330F60F5"/>
    <w:rsid w:val="33252C89"/>
    <w:rsid w:val="33AC7FE9"/>
    <w:rsid w:val="33BA68D3"/>
    <w:rsid w:val="34167B83"/>
    <w:rsid w:val="345070A5"/>
    <w:rsid w:val="349C47BA"/>
    <w:rsid w:val="34EC15E7"/>
    <w:rsid w:val="35073B5E"/>
    <w:rsid w:val="350E6D55"/>
    <w:rsid w:val="35247FB4"/>
    <w:rsid w:val="352F5EAA"/>
    <w:rsid w:val="35360287"/>
    <w:rsid w:val="357257F4"/>
    <w:rsid w:val="359F0631"/>
    <w:rsid w:val="35A04CF7"/>
    <w:rsid w:val="35CB50F7"/>
    <w:rsid w:val="35E9296F"/>
    <w:rsid w:val="360B2E31"/>
    <w:rsid w:val="363F0D0C"/>
    <w:rsid w:val="36596801"/>
    <w:rsid w:val="36626BDC"/>
    <w:rsid w:val="36694F47"/>
    <w:rsid w:val="36B81211"/>
    <w:rsid w:val="36B96051"/>
    <w:rsid w:val="36BF7045"/>
    <w:rsid w:val="36C6157B"/>
    <w:rsid w:val="36F91E11"/>
    <w:rsid w:val="37721EBC"/>
    <w:rsid w:val="37790AE6"/>
    <w:rsid w:val="378A23EA"/>
    <w:rsid w:val="37A869F4"/>
    <w:rsid w:val="380C56EE"/>
    <w:rsid w:val="382C79BC"/>
    <w:rsid w:val="3841601D"/>
    <w:rsid w:val="38736E2F"/>
    <w:rsid w:val="388B5FBA"/>
    <w:rsid w:val="3893116D"/>
    <w:rsid w:val="38B04B87"/>
    <w:rsid w:val="38C91905"/>
    <w:rsid w:val="38F94367"/>
    <w:rsid w:val="39004E9C"/>
    <w:rsid w:val="39170312"/>
    <w:rsid w:val="3933201A"/>
    <w:rsid w:val="39371E0D"/>
    <w:rsid w:val="39B30BF1"/>
    <w:rsid w:val="39D7765E"/>
    <w:rsid w:val="39E313D4"/>
    <w:rsid w:val="39E461EE"/>
    <w:rsid w:val="3A107A2F"/>
    <w:rsid w:val="3A1520E9"/>
    <w:rsid w:val="3A3C52EE"/>
    <w:rsid w:val="3A476B55"/>
    <w:rsid w:val="3A4C15B5"/>
    <w:rsid w:val="3A580EC1"/>
    <w:rsid w:val="3A591CBE"/>
    <w:rsid w:val="3A8A7157"/>
    <w:rsid w:val="3A9F20FB"/>
    <w:rsid w:val="3AB924F9"/>
    <w:rsid w:val="3B0E4158"/>
    <w:rsid w:val="3B3248D4"/>
    <w:rsid w:val="3B3C10BD"/>
    <w:rsid w:val="3B4B6005"/>
    <w:rsid w:val="3BA21B4E"/>
    <w:rsid w:val="3BF87DA2"/>
    <w:rsid w:val="3C21729C"/>
    <w:rsid w:val="3C2A5F9F"/>
    <w:rsid w:val="3C2E798E"/>
    <w:rsid w:val="3C471CD0"/>
    <w:rsid w:val="3C5B7151"/>
    <w:rsid w:val="3C8C23AE"/>
    <w:rsid w:val="3CB11502"/>
    <w:rsid w:val="3CD75FEE"/>
    <w:rsid w:val="3D195DCA"/>
    <w:rsid w:val="3D19677D"/>
    <w:rsid w:val="3D2434F6"/>
    <w:rsid w:val="3DBD5FE7"/>
    <w:rsid w:val="3E0E49F4"/>
    <w:rsid w:val="3E100552"/>
    <w:rsid w:val="3E281F25"/>
    <w:rsid w:val="3E397685"/>
    <w:rsid w:val="3EA476D2"/>
    <w:rsid w:val="3EA83126"/>
    <w:rsid w:val="3EE277FF"/>
    <w:rsid w:val="3EEE3674"/>
    <w:rsid w:val="3EF034B6"/>
    <w:rsid w:val="3F1D35BD"/>
    <w:rsid w:val="3F284EF2"/>
    <w:rsid w:val="3F3C4BA7"/>
    <w:rsid w:val="3F45104C"/>
    <w:rsid w:val="3F513BA9"/>
    <w:rsid w:val="3F5E3B71"/>
    <w:rsid w:val="3F8A287B"/>
    <w:rsid w:val="3FB93EAB"/>
    <w:rsid w:val="3FC7529B"/>
    <w:rsid w:val="3FCA5D08"/>
    <w:rsid w:val="3FF43806"/>
    <w:rsid w:val="405851FD"/>
    <w:rsid w:val="40595725"/>
    <w:rsid w:val="405A260B"/>
    <w:rsid w:val="4067070B"/>
    <w:rsid w:val="407127B5"/>
    <w:rsid w:val="40775C65"/>
    <w:rsid w:val="409303C5"/>
    <w:rsid w:val="40C40075"/>
    <w:rsid w:val="40CD32A3"/>
    <w:rsid w:val="40F8281A"/>
    <w:rsid w:val="411B677A"/>
    <w:rsid w:val="41256732"/>
    <w:rsid w:val="41430EAE"/>
    <w:rsid w:val="41656294"/>
    <w:rsid w:val="419937A7"/>
    <w:rsid w:val="419973E7"/>
    <w:rsid w:val="41B85AF1"/>
    <w:rsid w:val="41BD3510"/>
    <w:rsid w:val="41C96AA6"/>
    <w:rsid w:val="423C0D33"/>
    <w:rsid w:val="42B24709"/>
    <w:rsid w:val="42C90877"/>
    <w:rsid w:val="42ED383C"/>
    <w:rsid w:val="42F37006"/>
    <w:rsid w:val="431F58E0"/>
    <w:rsid w:val="438F1275"/>
    <w:rsid w:val="43F048A9"/>
    <w:rsid w:val="43F25F98"/>
    <w:rsid w:val="44303332"/>
    <w:rsid w:val="443A2245"/>
    <w:rsid w:val="44613EEC"/>
    <w:rsid w:val="447D5FA5"/>
    <w:rsid w:val="44B75A84"/>
    <w:rsid w:val="44CD50E7"/>
    <w:rsid w:val="44D00D4C"/>
    <w:rsid w:val="44DA3AAC"/>
    <w:rsid w:val="458F343F"/>
    <w:rsid w:val="45F82F05"/>
    <w:rsid w:val="45FD7CB5"/>
    <w:rsid w:val="46002CEE"/>
    <w:rsid w:val="46177551"/>
    <w:rsid w:val="46645530"/>
    <w:rsid w:val="4666044C"/>
    <w:rsid w:val="46B005BD"/>
    <w:rsid w:val="46C55DF4"/>
    <w:rsid w:val="46F83371"/>
    <w:rsid w:val="47096021"/>
    <w:rsid w:val="471511FB"/>
    <w:rsid w:val="4731255B"/>
    <w:rsid w:val="47687838"/>
    <w:rsid w:val="4776676E"/>
    <w:rsid w:val="47801C35"/>
    <w:rsid w:val="478D0C6F"/>
    <w:rsid w:val="47AC0828"/>
    <w:rsid w:val="47BE762C"/>
    <w:rsid w:val="47D3720A"/>
    <w:rsid w:val="47E46E7A"/>
    <w:rsid w:val="47EC0B3D"/>
    <w:rsid w:val="47F54FB8"/>
    <w:rsid w:val="47F9234A"/>
    <w:rsid w:val="48141998"/>
    <w:rsid w:val="483501E7"/>
    <w:rsid w:val="48736012"/>
    <w:rsid w:val="48E200CE"/>
    <w:rsid w:val="48ED399F"/>
    <w:rsid w:val="48F6787A"/>
    <w:rsid w:val="496646DA"/>
    <w:rsid w:val="49942634"/>
    <w:rsid w:val="499E0931"/>
    <w:rsid w:val="49D16550"/>
    <w:rsid w:val="4A351F83"/>
    <w:rsid w:val="4A3E42E1"/>
    <w:rsid w:val="4A7B6252"/>
    <w:rsid w:val="4A7D37A9"/>
    <w:rsid w:val="4A835E6C"/>
    <w:rsid w:val="4A8462FB"/>
    <w:rsid w:val="4A8C150F"/>
    <w:rsid w:val="4AAC563B"/>
    <w:rsid w:val="4ADB4082"/>
    <w:rsid w:val="4AFE1B2C"/>
    <w:rsid w:val="4AFF2636"/>
    <w:rsid w:val="4B20280A"/>
    <w:rsid w:val="4B3476E7"/>
    <w:rsid w:val="4B4C6800"/>
    <w:rsid w:val="4BDC72D7"/>
    <w:rsid w:val="4BEA2993"/>
    <w:rsid w:val="4C05660E"/>
    <w:rsid w:val="4C216299"/>
    <w:rsid w:val="4C286A6C"/>
    <w:rsid w:val="4C360EF8"/>
    <w:rsid w:val="4C37768B"/>
    <w:rsid w:val="4C454089"/>
    <w:rsid w:val="4C6C7FA6"/>
    <w:rsid w:val="4CB905B1"/>
    <w:rsid w:val="4CDA06EC"/>
    <w:rsid w:val="4CDA33BD"/>
    <w:rsid w:val="4CE640D6"/>
    <w:rsid w:val="4CF06D4B"/>
    <w:rsid w:val="4CFC05C1"/>
    <w:rsid w:val="4CFF2811"/>
    <w:rsid w:val="4D0717D1"/>
    <w:rsid w:val="4D0F0756"/>
    <w:rsid w:val="4D5559AE"/>
    <w:rsid w:val="4D925863"/>
    <w:rsid w:val="4D976EB2"/>
    <w:rsid w:val="4DC47527"/>
    <w:rsid w:val="4E051441"/>
    <w:rsid w:val="4E375241"/>
    <w:rsid w:val="4E7976C6"/>
    <w:rsid w:val="4ECC44F8"/>
    <w:rsid w:val="4ED45DA4"/>
    <w:rsid w:val="4ED96BDB"/>
    <w:rsid w:val="4F096CE5"/>
    <w:rsid w:val="4F916842"/>
    <w:rsid w:val="4F992840"/>
    <w:rsid w:val="4FD86F18"/>
    <w:rsid w:val="4FE7789B"/>
    <w:rsid w:val="50240DF1"/>
    <w:rsid w:val="50495EA5"/>
    <w:rsid w:val="50565365"/>
    <w:rsid w:val="505E62DC"/>
    <w:rsid w:val="50A61974"/>
    <w:rsid w:val="51013CC1"/>
    <w:rsid w:val="51066925"/>
    <w:rsid w:val="51094975"/>
    <w:rsid w:val="513122FB"/>
    <w:rsid w:val="515333CE"/>
    <w:rsid w:val="516B7DFC"/>
    <w:rsid w:val="51776AC9"/>
    <w:rsid w:val="51B92F5C"/>
    <w:rsid w:val="52007838"/>
    <w:rsid w:val="525E7BE5"/>
    <w:rsid w:val="52620330"/>
    <w:rsid w:val="52892465"/>
    <w:rsid w:val="52B479C5"/>
    <w:rsid w:val="52C15E0E"/>
    <w:rsid w:val="52D5360A"/>
    <w:rsid w:val="52D84567"/>
    <w:rsid w:val="52FF0080"/>
    <w:rsid w:val="53075746"/>
    <w:rsid w:val="532A292D"/>
    <w:rsid w:val="5334403C"/>
    <w:rsid w:val="534A3484"/>
    <w:rsid w:val="535D7431"/>
    <w:rsid w:val="536B71A9"/>
    <w:rsid w:val="53782C19"/>
    <w:rsid w:val="53B77BC0"/>
    <w:rsid w:val="53CD2A6E"/>
    <w:rsid w:val="53D23854"/>
    <w:rsid w:val="540D165A"/>
    <w:rsid w:val="542476D9"/>
    <w:rsid w:val="542F1C87"/>
    <w:rsid w:val="547A513E"/>
    <w:rsid w:val="54A16D97"/>
    <w:rsid w:val="54A9783F"/>
    <w:rsid w:val="54B70115"/>
    <w:rsid w:val="54B848CE"/>
    <w:rsid w:val="54C5287B"/>
    <w:rsid w:val="54E25F21"/>
    <w:rsid w:val="550615A3"/>
    <w:rsid w:val="555A4DEC"/>
    <w:rsid w:val="5613338D"/>
    <w:rsid w:val="5617226E"/>
    <w:rsid w:val="56481ACF"/>
    <w:rsid w:val="5696465F"/>
    <w:rsid w:val="569F699F"/>
    <w:rsid w:val="56B16E9D"/>
    <w:rsid w:val="56E34DFF"/>
    <w:rsid w:val="574E64B3"/>
    <w:rsid w:val="575C7A27"/>
    <w:rsid w:val="57717EB0"/>
    <w:rsid w:val="577D07D7"/>
    <w:rsid w:val="57AA1A05"/>
    <w:rsid w:val="57AB25BC"/>
    <w:rsid w:val="57DC1244"/>
    <w:rsid w:val="57DF095F"/>
    <w:rsid w:val="57EF2667"/>
    <w:rsid w:val="58385196"/>
    <w:rsid w:val="585A3343"/>
    <w:rsid w:val="587C400F"/>
    <w:rsid w:val="58A81EC0"/>
    <w:rsid w:val="58AD4D11"/>
    <w:rsid w:val="58DE3081"/>
    <w:rsid w:val="590753BD"/>
    <w:rsid w:val="5919154D"/>
    <w:rsid w:val="59515D69"/>
    <w:rsid w:val="596D1E79"/>
    <w:rsid w:val="598B598B"/>
    <w:rsid w:val="59A2637E"/>
    <w:rsid w:val="59CD1200"/>
    <w:rsid w:val="59DD1CCC"/>
    <w:rsid w:val="59E01D36"/>
    <w:rsid w:val="59F13191"/>
    <w:rsid w:val="5A484F4A"/>
    <w:rsid w:val="5A4D0D72"/>
    <w:rsid w:val="5AA2335A"/>
    <w:rsid w:val="5AB9116B"/>
    <w:rsid w:val="5B1C33DD"/>
    <w:rsid w:val="5B383B13"/>
    <w:rsid w:val="5B4102D2"/>
    <w:rsid w:val="5B481ED6"/>
    <w:rsid w:val="5B5431F7"/>
    <w:rsid w:val="5B9678AF"/>
    <w:rsid w:val="5BBF0714"/>
    <w:rsid w:val="5BC15EFE"/>
    <w:rsid w:val="5BC7086A"/>
    <w:rsid w:val="5BF31237"/>
    <w:rsid w:val="5BF841F0"/>
    <w:rsid w:val="5C261C17"/>
    <w:rsid w:val="5CE36D8D"/>
    <w:rsid w:val="5CFF7880"/>
    <w:rsid w:val="5D3B5CEF"/>
    <w:rsid w:val="5D3C6B56"/>
    <w:rsid w:val="5D5A3EB6"/>
    <w:rsid w:val="5D6A2214"/>
    <w:rsid w:val="5DBE33E5"/>
    <w:rsid w:val="5DD95193"/>
    <w:rsid w:val="5DE05084"/>
    <w:rsid w:val="5E030337"/>
    <w:rsid w:val="5E154F75"/>
    <w:rsid w:val="5E164F05"/>
    <w:rsid w:val="5E5D0784"/>
    <w:rsid w:val="5E9142D2"/>
    <w:rsid w:val="5EF82A28"/>
    <w:rsid w:val="5EF866FB"/>
    <w:rsid w:val="5EF95308"/>
    <w:rsid w:val="5F123B27"/>
    <w:rsid w:val="5F17517B"/>
    <w:rsid w:val="5F18374D"/>
    <w:rsid w:val="5F326AA2"/>
    <w:rsid w:val="5F613B78"/>
    <w:rsid w:val="5F8C1051"/>
    <w:rsid w:val="5F9A0005"/>
    <w:rsid w:val="5FBC4FBB"/>
    <w:rsid w:val="5FC81C63"/>
    <w:rsid w:val="600D2885"/>
    <w:rsid w:val="6044285C"/>
    <w:rsid w:val="60521402"/>
    <w:rsid w:val="60AB6A49"/>
    <w:rsid w:val="60DF5605"/>
    <w:rsid w:val="60E0412C"/>
    <w:rsid w:val="613F5973"/>
    <w:rsid w:val="615640FD"/>
    <w:rsid w:val="615C4218"/>
    <w:rsid w:val="61884479"/>
    <w:rsid w:val="61A159CE"/>
    <w:rsid w:val="61D170A7"/>
    <w:rsid w:val="620C4C22"/>
    <w:rsid w:val="62333EB8"/>
    <w:rsid w:val="624513CE"/>
    <w:rsid w:val="62530C1F"/>
    <w:rsid w:val="63066F9B"/>
    <w:rsid w:val="63123AE9"/>
    <w:rsid w:val="633E0446"/>
    <w:rsid w:val="63AA46E2"/>
    <w:rsid w:val="63CB3E5B"/>
    <w:rsid w:val="64214600"/>
    <w:rsid w:val="642D7145"/>
    <w:rsid w:val="64E749D0"/>
    <w:rsid w:val="650C464C"/>
    <w:rsid w:val="65B543BE"/>
    <w:rsid w:val="65CB6290"/>
    <w:rsid w:val="65D64D76"/>
    <w:rsid w:val="65D86BFC"/>
    <w:rsid w:val="664E5114"/>
    <w:rsid w:val="66A02BC2"/>
    <w:rsid w:val="66E7337C"/>
    <w:rsid w:val="66EF1C25"/>
    <w:rsid w:val="670322B5"/>
    <w:rsid w:val="670B73D4"/>
    <w:rsid w:val="675B694E"/>
    <w:rsid w:val="6766217B"/>
    <w:rsid w:val="67767289"/>
    <w:rsid w:val="67A67543"/>
    <w:rsid w:val="67AC16FC"/>
    <w:rsid w:val="67D92014"/>
    <w:rsid w:val="67EB061D"/>
    <w:rsid w:val="68356591"/>
    <w:rsid w:val="683A22A1"/>
    <w:rsid w:val="686A6D87"/>
    <w:rsid w:val="687C1B66"/>
    <w:rsid w:val="68D314B0"/>
    <w:rsid w:val="68DF25C5"/>
    <w:rsid w:val="69021A96"/>
    <w:rsid w:val="691C62E4"/>
    <w:rsid w:val="691D1777"/>
    <w:rsid w:val="696736F3"/>
    <w:rsid w:val="699D24F4"/>
    <w:rsid w:val="69D07703"/>
    <w:rsid w:val="6A0B1ADD"/>
    <w:rsid w:val="6A2851B0"/>
    <w:rsid w:val="6A4229EC"/>
    <w:rsid w:val="6A49135A"/>
    <w:rsid w:val="6A6425D6"/>
    <w:rsid w:val="6AB2378F"/>
    <w:rsid w:val="6AD53341"/>
    <w:rsid w:val="6AF43A3C"/>
    <w:rsid w:val="6B3E3DA9"/>
    <w:rsid w:val="6B520D56"/>
    <w:rsid w:val="6B6665C4"/>
    <w:rsid w:val="6B8E0B8B"/>
    <w:rsid w:val="6BBA6E73"/>
    <w:rsid w:val="6BCD3CBC"/>
    <w:rsid w:val="6C206827"/>
    <w:rsid w:val="6D041EC0"/>
    <w:rsid w:val="6D534129"/>
    <w:rsid w:val="6D9678B3"/>
    <w:rsid w:val="6DB13D7E"/>
    <w:rsid w:val="6DF23A9F"/>
    <w:rsid w:val="6DFA19C2"/>
    <w:rsid w:val="6E13712A"/>
    <w:rsid w:val="6E166FAA"/>
    <w:rsid w:val="6E3742B6"/>
    <w:rsid w:val="6EA85AB6"/>
    <w:rsid w:val="6EB32ED5"/>
    <w:rsid w:val="6EDD582D"/>
    <w:rsid w:val="6EE034F2"/>
    <w:rsid w:val="6EED64F6"/>
    <w:rsid w:val="6EF7078F"/>
    <w:rsid w:val="6F0169B9"/>
    <w:rsid w:val="6F0665B0"/>
    <w:rsid w:val="6F2443D4"/>
    <w:rsid w:val="6F297A2C"/>
    <w:rsid w:val="6F3D42E1"/>
    <w:rsid w:val="6F416497"/>
    <w:rsid w:val="6F58078A"/>
    <w:rsid w:val="6F637198"/>
    <w:rsid w:val="6F8B35F7"/>
    <w:rsid w:val="6F8D044C"/>
    <w:rsid w:val="6FAA7CB3"/>
    <w:rsid w:val="6FC415DF"/>
    <w:rsid w:val="6FCC6D70"/>
    <w:rsid w:val="6FE475ED"/>
    <w:rsid w:val="6FF61F12"/>
    <w:rsid w:val="70502935"/>
    <w:rsid w:val="7088002E"/>
    <w:rsid w:val="70A759C5"/>
    <w:rsid w:val="70CC1229"/>
    <w:rsid w:val="711C0FA4"/>
    <w:rsid w:val="712911B3"/>
    <w:rsid w:val="712D33CF"/>
    <w:rsid w:val="712E19AD"/>
    <w:rsid w:val="71344CAE"/>
    <w:rsid w:val="71390D83"/>
    <w:rsid w:val="71593E64"/>
    <w:rsid w:val="7177204A"/>
    <w:rsid w:val="71823D3A"/>
    <w:rsid w:val="71DB15D5"/>
    <w:rsid w:val="71F40272"/>
    <w:rsid w:val="72175C6C"/>
    <w:rsid w:val="72377900"/>
    <w:rsid w:val="72640D47"/>
    <w:rsid w:val="726D26AE"/>
    <w:rsid w:val="72800B9A"/>
    <w:rsid w:val="728B2B3A"/>
    <w:rsid w:val="72BD4B65"/>
    <w:rsid w:val="72EC3A33"/>
    <w:rsid w:val="72FE6692"/>
    <w:rsid w:val="73142EA9"/>
    <w:rsid w:val="731A0D63"/>
    <w:rsid w:val="733D2DB2"/>
    <w:rsid w:val="73740FFF"/>
    <w:rsid w:val="73801758"/>
    <w:rsid w:val="73810F48"/>
    <w:rsid w:val="73963F3D"/>
    <w:rsid w:val="73AA776D"/>
    <w:rsid w:val="73AC6BEC"/>
    <w:rsid w:val="73B844C2"/>
    <w:rsid w:val="73BE2ACC"/>
    <w:rsid w:val="74B744D6"/>
    <w:rsid w:val="74C36816"/>
    <w:rsid w:val="74DB39C6"/>
    <w:rsid w:val="74E2747D"/>
    <w:rsid w:val="74EA7E62"/>
    <w:rsid w:val="75307FA3"/>
    <w:rsid w:val="754E3539"/>
    <w:rsid w:val="754F05CE"/>
    <w:rsid w:val="757E4A1E"/>
    <w:rsid w:val="75A1149E"/>
    <w:rsid w:val="75B6677C"/>
    <w:rsid w:val="75CF555C"/>
    <w:rsid w:val="75F800A1"/>
    <w:rsid w:val="761628D5"/>
    <w:rsid w:val="76265060"/>
    <w:rsid w:val="76314757"/>
    <w:rsid w:val="766510CF"/>
    <w:rsid w:val="76653705"/>
    <w:rsid w:val="766A5609"/>
    <w:rsid w:val="768B3233"/>
    <w:rsid w:val="76E07B45"/>
    <w:rsid w:val="76F90352"/>
    <w:rsid w:val="770A5745"/>
    <w:rsid w:val="771056E8"/>
    <w:rsid w:val="77645669"/>
    <w:rsid w:val="776E2D5E"/>
    <w:rsid w:val="77811CCD"/>
    <w:rsid w:val="779961FE"/>
    <w:rsid w:val="77F47CF6"/>
    <w:rsid w:val="782138E1"/>
    <w:rsid w:val="7850521B"/>
    <w:rsid w:val="7864403B"/>
    <w:rsid w:val="78990BAD"/>
    <w:rsid w:val="78A00A97"/>
    <w:rsid w:val="78F63BEA"/>
    <w:rsid w:val="78FD53FA"/>
    <w:rsid w:val="793D5149"/>
    <w:rsid w:val="794915CE"/>
    <w:rsid w:val="797C77FA"/>
    <w:rsid w:val="7998174E"/>
    <w:rsid w:val="79A93CF6"/>
    <w:rsid w:val="79CB3771"/>
    <w:rsid w:val="7A271614"/>
    <w:rsid w:val="7A464BBB"/>
    <w:rsid w:val="7A4E271E"/>
    <w:rsid w:val="7A583564"/>
    <w:rsid w:val="7A7E5057"/>
    <w:rsid w:val="7A866501"/>
    <w:rsid w:val="7A8A5F5B"/>
    <w:rsid w:val="7A923AF0"/>
    <w:rsid w:val="7AB73C4F"/>
    <w:rsid w:val="7AEE06EE"/>
    <w:rsid w:val="7B3E6880"/>
    <w:rsid w:val="7B741697"/>
    <w:rsid w:val="7BCF7C3E"/>
    <w:rsid w:val="7BFA71F2"/>
    <w:rsid w:val="7C240CA4"/>
    <w:rsid w:val="7C5F7AC0"/>
    <w:rsid w:val="7C61499C"/>
    <w:rsid w:val="7CF34802"/>
    <w:rsid w:val="7CF92561"/>
    <w:rsid w:val="7D0B6FA3"/>
    <w:rsid w:val="7D681FB8"/>
    <w:rsid w:val="7D751486"/>
    <w:rsid w:val="7D756B97"/>
    <w:rsid w:val="7DE67FEB"/>
    <w:rsid w:val="7E2413DA"/>
    <w:rsid w:val="7E2B08D1"/>
    <w:rsid w:val="7E836D3E"/>
    <w:rsid w:val="7E984EAD"/>
    <w:rsid w:val="7E9869E0"/>
    <w:rsid w:val="7EB23E61"/>
    <w:rsid w:val="7EB24170"/>
    <w:rsid w:val="7F12234C"/>
    <w:rsid w:val="7F35105B"/>
    <w:rsid w:val="7F5C18A0"/>
    <w:rsid w:val="7F5D6B83"/>
    <w:rsid w:val="7F8B6F4A"/>
    <w:rsid w:val="7F9777F9"/>
    <w:rsid w:val="7FAE55E0"/>
    <w:rsid w:val="7FD745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nhideWhenUsed="0" w:uiPriority="0" w:semiHidden="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6"/>
    <w:qFormat/>
    <w:uiPriority w:val="99"/>
    <w:pPr>
      <w:tabs>
        <w:tab w:val="center" w:pos="4153"/>
        <w:tab w:val="right" w:pos="8306"/>
      </w:tabs>
      <w:snapToGrid w:val="0"/>
      <w:jc w:val="left"/>
    </w:pPr>
    <w:rPr>
      <w:kern w:val="0"/>
      <w:sz w:val="18"/>
      <w:szCs w:val="18"/>
    </w:rPr>
  </w:style>
  <w:style w:type="paragraph" w:styleId="3">
    <w:name w:val="index 5"/>
    <w:basedOn w:val="1"/>
    <w:next w:val="1"/>
    <w:qFormat/>
    <w:uiPriority w:val="0"/>
    <w:pPr>
      <w:ind w:left="1680"/>
    </w:pPr>
  </w:style>
  <w:style w:type="paragraph" w:styleId="6">
    <w:name w:val="Body Text"/>
    <w:basedOn w:val="1"/>
    <w:next w:val="7"/>
    <w:qFormat/>
    <w:uiPriority w:val="0"/>
  </w:style>
  <w:style w:type="paragraph" w:styleId="7">
    <w:name w:val="index 7"/>
    <w:next w:val="1"/>
    <w:qFormat/>
    <w:uiPriority w:val="0"/>
    <w:pPr>
      <w:widowControl w:val="0"/>
      <w:ind w:left="2520"/>
      <w:jc w:val="both"/>
    </w:pPr>
    <w:rPr>
      <w:rFonts w:ascii="Times New Roman" w:hAnsi="Times New Roman" w:eastAsia="宋体" w:cs="Times New Roman"/>
      <w:kern w:val="2"/>
      <w:sz w:val="21"/>
      <w:lang w:val="en-US" w:eastAsia="zh-CN" w:bidi="ar-SA"/>
    </w:rPr>
  </w:style>
  <w:style w:type="paragraph" w:styleId="8">
    <w:name w:val="Date"/>
    <w:basedOn w:val="1"/>
    <w:next w:val="1"/>
    <w:link w:val="33"/>
    <w:semiHidden/>
    <w:unhideWhenUsed/>
    <w:qFormat/>
    <w:uiPriority w:val="0"/>
    <w:pPr>
      <w:ind w:left="100" w:leftChars="2500"/>
    </w:pPr>
  </w:style>
  <w:style w:type="paragraph" w:styleId="9">
    <w:name w:val="Body Text Indent 2"/>
    <w:basedOn w:val="1"/>
    <w:qFormat/>
    <w:uiPriority w:val="0"/>
    <w:pPr>
      <w:spacing w:after="120" w:line="480" w:lineRule="auto"/>
      <w:ind w:left="200" w:leftChars="200"/>
    </w:pPr>
  </w:style>
  <w:style w:type="paragraph" w:styleId="10">
    <w:name w:val="Balloon Text"/>
    <w:basedOn w:val="1"/>
    <w:link w:val="20"/>
    <w:qFormat/>
    <w:uiPriority w:val="0"/>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style>
  <w:style w:type="paragraph" w:styleId="13">
    <w:name w:val="toc 2"/>
    <w:basedOn w:val="1"/>
    <w:next w:val="1"/>
    <w:unhideWhenUsed/>
    <w:qFormat/>
    <w:uiPriority w:val="39"/>
    <w:pPr>
      <w:tabs>
        <w:tab w:val="right" w:leader="dot" w:pos="8834"/>
      </w:tabs>
      <w:spacing w:line="320" w:lineRule="exact"/>
      <w:ind w:left="420" w:leftChars="200"/>
    </w:pPr>
  </w:style>
  <w:style w:type="paragraph" w:styleId="14">
    <w:name w:val="Normal (Web)"/>
    <w:basedOn w:val="1"/>
    <w:qFormat/>
    <w:uiPriority w:val="99"/>
    <w:pPr>
      <w:spacing w:beforeAutospacing="1" w:afterAutospacing="1"/>
      <w:jc w:val="left"/>
    </w:pPr>
    <w:rPr>
      <w:kern w:val="0"/>
      <w:sz w:val="24"/>
    </w:rPr>
  </w:style>
  <w:style w:type="character" w:styleId="17">
    <w:name w:val="page number"/>
    <w:qFormat/>
    <w:uiPriority w:val="0"/>
  </w:style>
  <w:style w:type="character" w:styleId="18">
    <w:name w:val="Emphasis"/>
    <w:basedOn w:val="16"/>
    <w:qFormat/>
    <w:uiPriority w:val="0"/>
    <w:rPr>
      <w:i/>
    </w:rPr>
  </w:style>
  <w:style w:type="character" w:styleId="19">
    <w:name w:val="Hyperlink"/>
    <w:basedOn w:val="16"/>
    <w:unhideWhenUsed/>
    <w:qFormat/>
    <w:uiPriority w:val="99"/>
    <w:rPr>
      <w:color w:val="0563C1" w:themeColor="hyperlink"/>
      <w:u w:val="single"/>
    </w:rPr>
  </w:style>
  <w:style w:type="character" w:customStyle="1" w:styleId="20">
    <w:name w:val="批注框文本 Char"/>
    <w:basedOn w:val="16"/>
    <w:link w:val="10"/>
    <w:qFormat/>
    <w:uiPriority w:val="0"/>
    <w:rPr>
      <w:kern w:val="2"/>
      <w:sz w:val="18"/>
      <w:szCs w:val="18"/>
    </w:rPr>
  </w:style>
  <w:style w:type="character" w:customStyle="1" w:styleId="21">
    <w:name w:val="guidebody"/>
    <w:basedOn w:val="16"/>
    <w:qFormat/>
    <w:uiPriority w:val="0"/>
  </w:style>
  <w:style w:type="paragraph" w:customStyle="1" w:styleId="22">
    <w:name w:val="_Style 2"/>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
    <w:name w:val="_Style 1"/>
    <w:basedOn w:val="1"/>
    <w:qFormat/>
    <w:uiPriority w:val="0"/>
    <w:pPr>
      <w:ind w:firstLine="420" w:firstLineChars="200"/>
    </w:pPr>
    <w:rPr>
      <w:rFonts w:ascii="Calibri" w:hAnsi="Calibri"/>
      <w:szCs w:val="22"/>
    </w:rPr>
  </w:style>
  <w:style w:type="paragraph" w:customStyle="1" w:styleId="24">
    <w:name w:val="列出段落1"/>
    <w:basedOn w:val="1"/>
    <w:qFormat/>
    <w:uiPriority w:val="0"/>
    <w:pPr>
      <w:ind w:firstLine="420" w:firstLineChars="200"/>
    </w:pPr>
    <w:rPr>
      <w:rFonts w:ascii="Calibri" w:hAnsi="Calibri"/>
    </w:rPr>
  </w:style>
  <w:style w:type="paragraph" w:customStyle="1" w:styleId="25">
    <w:name w:val="列出段落11"/>
    <w:basedOn w:val="1"/>
    <w:qFormat/>
    <w:uiPriority w:val="0"/>
    <w:pPr>
      <w:ind w:firstLine="420" w:firstLineChars="200"/>
    </w:pPr>
    <w:rPr>
      <w:rFonts w:ascii="Calibri" w:hAnsi="Calibri"/>
    </w:rPr>
  </w:style>
  <w:style w:type="character" w:customStyle="1" w:styleId="26">
    <w:name w:val="页脚 Char"/>
    <w:basedOn w:val="16"/>
    <w:link w:val="2"/>
    <w:qFormat/>
    <w:uiPriority w:val="99"/>
    <w:rPr>
      <w:sz w:val="18"/>
      <w:szCs w:val="18"/>
    </w:rPr>
  </w:style>
  <w:style w:type="character" w:customStyle="1" w:styleId="27">
    <w:name w:val="font51"/>
    <w:basedOn w:val="16"/>
    <w:qFormat/>
    <w:uiPriority w:val="0"/>
    <w:rPr>
      <w:rFonts w:ascii="Arial" w:hAnsi="Arial" w:cs="Arial"/>
      <w:color w:val="000000"/>
      <w:sz w:val="20"/>
      <w:szCs w:val="20"/>
      <w:u w:val="none"/>
    </w:rPr>
  </w:style>
  <w:style w:type="character" w:customStyle="1" w:styleId="28">
    <w:name w:val="font01"/>
    <w:basedOn w:val="16"/>
    <w:qFormat/>
    <w:uiPriority w:val="0"/>
    <w:rPr>
      <w:rFonts w:hint="eastAsia" w:ascii="宋体" w:hAnsi="宋体" w:eastAsia="宋体" w:cs="宋体"/>
      <w:color w:val="000000"/>
      <w:sz w:val="20"/>
      <w:szCs w:val="20"/>
      <w:u w:val="none"/>
    </w:rPr>
  </w:style>
  <w:style w:type="character" w:customStyle="1" w:styleId="29">
    <w:name w:val="font41"/>
    <w:basedOn w:val="16"/>
    <w:qFormat/>
    <w:uiPriority w:val="0"/>
    <w:rPr>
      <w:rFonts w:hint="eastAsia" w:ascii="仿宋_GB2312" w:eastAsia="仿宋_GB2312" w:cs="仿宋_GB2312"/>
      <w:color w:val="000000"/>
      <w:sz w:val="20"/>
      <w:szCs w:val="20"/>
      <w:u w:val="none"/>
    </w:rPr>
  </w:style>
  <w:style w:type="character" w:customStyle="1" w:styleId="30">
    <w:name w:val="font21"/>
    <w:basedOn w:val="16"/>
    <w:qFormat/>
    <w:uiPriority w:val="0"/>
    <w:rPr>
      <w:rFonts w:hint="eastAsia" w:ascii="宋体" w:hAnsi="宋体" w:eastAsia="宋体" w:cs="宋体"/>
      <w:color w:val="000000"/>
      <w:sz w:val="20"/>
      <w:szCs w:val="20"/>
      <w:u w:val="none"/>
    </w:rPr>
  </w:style>
  <w:style w:type="character" w:customStyle="1" w:styleId="31">
    <w:name w:val="font31"/>
    <w:basedOn w:val="16"/>
    <w:qFormat/>
    <w:uiPriority w:val="0"/>
    <w:rPr>
      <w:rFonts w:ascii="宋体" w:hAnsi="宋体" w:eastAsia="宋体" w:cs="宋体"/>
      <w:color w:val="000000"/>
      <w:sz w:val="20"/>
      <w:szCs w:val="20"/>
      <w:u w:val="none"/>
    </w:rPr>
  </w:style>
  <w:style w:type="character" w:customStyle="1" w:styleId="32">
    <w:name w:val="font11"/>
    <w:basedOn w:val="16"/>
    <w:qFormat/>
    <w:uiPriority w:val="0"/>
    <w:rPr>
      <w:rFonts w:hint="eastAsia" w:ascii="宋体" w:hAnsi="宋体" w:eastAsia="宋体" w:cs="宋体"/>
      <w:color w:val="000000"/>
      <w:sz w:val="20"/>
      <w:szCs w:val="20"/>
      <w:u w:val="none"/>
    </w:rPr>
  </w:style>
  <w:style w:type="character" w:customStyle="1" w:styleId="33">
    <w:name w:val="日期 Char"/>
    <w:basedOn w:val="16"/>
    <w:link w:val="8"/>
    <w:semiHidden/>
    <w:qFormat/>
    <w:uiPriority w:val="0"/>
    <w:rPr>
      <w:kern w:val="2"/>
      <w:sz w:val="21"/>
      <w:szCs w:val="24"/>
    </w:rPr>
  </w:style>
  <w:style w:type="paragraph"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F866-C0D7-4DCC-B2F3-F04500CDA85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4424</Words>
  <Characters>25222</Characters>
  <Lines>210</Lines>
  <Paragraphs>59</Paragraphs>
  <TotalTime>0</TotalTime>
  <ScaleCrop>false</ScaleCrop>
  <LinksUpToDate>false</LinksUpToDate>
  <CharactersWithSpaces>29587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2021-06-16T07:16:00Z</dcterms:created>
  <dc:creator>Angel farm 小英</dc:creator>
  <cp:lastModifiedBy>Administrator</cp:lastModifiedBy>
  <cp:lastPrinted>2022-11-22T06:54:00Z</cp:lastPrinted>
  <dcterms:modified xsi:type="dcterms:W3CDTF">2023-10-12T23:37:14Z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74A85947AFC345B78CCC489FDB46C704_12</vt:lpwstr>
  </property>
</Properties>
</file>