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eastAsia="黑体"/>
          <w:sz w:val="32"/>
          <w:szCs w:val="32"/>
        </w:rPr>
      </w:pPr>
    </w:p>
    <w:p>
      <w:pPr>
        <w:spacing w:line="600" w:lineRule="exact"/>
        <w:jc w:val="center"/>
        <w:rPr>
          <w:rFonts w:eastAsia="方正小标宋简体" w:cs="方正小标宋简体"/>
          <w:sz w:val="44"/>
          <w:szCs w:val="44"/>
        </w:rPr>
      </w:pPr>
      <w:r>
        <w:rPr>
          <w:rFonts w:hint="eastAsia" w:eastAsia="方正小标宋简体" w:cs="方正小标宋简体"/>
          <w:sz w:val="44"/>
          <w:szCs w:val="44"/>
        </w:rPr>
        <w:t>湘西经济开发区吉凤街道办事处</w:t>
      </w:r>
    </w:p>
    <w:p>
      <w:pPr>
        <w:spacing w:line="600" w:lineRule="exact"/>
        <w:jc w:val="center"/>
        <w:rPr>
          <w:rFonts w:eastAsia="方正小标宋简体" w:cs="方正小标宋简体"/>
          <w:sz w:val="44"/>
          <w:szCs w:val="44"/>
        </w:rPr>
      </w:pPr>
      <w:r>
        <w:rPr>
          <w:rFonts w:hint="eastAsia" w:eastAsia="方正小标宋简体" w:cs="方正小标宋简体"/>
          <w:sz w:val="44"/>
          <w:szCs w:val="44"/>
        </w:rPr>
        <w:t>关于开展2020年度部门整体支出绩效自评报告</w:t>
      </w:r>
    </w:p>
    <w:p>
      <w:pPr>
        <w:spacing w:line="600" w:lineRule="exact"/>
        <w:rPr>
          <w:rFonts w:eastAsia="仿宋_GB2312"/>
          <w:sz w:val="32"/>
          <w:szCs w:val="32"/>
        </w:rPr>
      </w:pPr>
    </w:p>
    <w:p>
      <w:pPr>
        <w:spacing w:line="600" w:lineRule="exact"/>
        <w:ind w:firstLine="640" w:firstLineChars="200"/>
        <w:rPr>
          <w:rFonts w:eastAsia="黑体"/>
          <w:sz w:val="32"/>
          <w:szCs w:val="32"/>
        </w:rPr>
      </w:pPr>
      <w:r>
        <w:rPr>
          <w:rFonts w:eastAsia="黑体"/>
          <w:sz w:val="32"/>
          <w:szCs w:val="32"/>
        </w:rPr>
        <w:t>一、自评范围</w:t>
      </w:r>
    </w:p>
    <w:p>
      <w:pPr>
        <w:spacing w:line="600" w:lineRule="exact"/>
        <w:ind w:firstLine="640" w:firstLineChars="200"/>
        <w:rPr>
          <w:rFonts w:eastAsia="仿宋_GB2312" w:cs="仿宋_GB2312"/>
          <w:sz w:val="32"/>
          <w:szCs w:val="32"/>
        </w:rPr>
      </w:pPr>
      <w:r>
        <w:rPr>
          <w:rFonts w:hint="eastAsia" w:eastAsia="仿宋_GB2312" w:cs="仿宋_GB2312"/>
          <w:sz w:val="32"/>
          <w:szCs w:val="32"/>
        </w:rPr>
        <w:t>2020年度州财政安排给本部门整体支出2018.68万元，其中，一般公共预算支出2018.68万元，政府性基金预算支出0万元，国有资本经营预算支出0万元，社会保险基金预算支出0万元。一般公共预算支出包括基本支出1521.79万元、项目支出496.89万元，其中，项目支出包括州本级支出496.89万元、对县（市）的转移支付0万元。</w:t>
      </w:r>
    </w:p>
    <w:p>
      <w:pPr>
        <w:spacing w:line="600" w:lineRule="exact"/>
        <w:ind w:firstLine="640" w:firstLineChars="200"/>
        <w:rPr>
          <w:rFonts w:eastAsia="黑体"/>
          <w:sz w:val="32"/>
          <w:szCs w:val="32"/>
        </w:rPr>
      </w:pPr>
      <w:r>
        <w:rPr>
          <w:rFonts w:eastAsia="黑体"/>
          <w:sz w:val="32"/>
          <w:szCs w:val="32"/>
        </w:rPr>
        <w:t>二、自评主要依据</w:t>
      </w:r>
    </w:p>
    <w:p>
      <w:pPr>
        <w:spacing w:line="600" w:lineRule="exact"/>
        <w:ind w:firstLine="640" w:firstLineChars="200"/>
        <w:rPr>
          <w:rFonts w:eastAsia="仿宋_GB2312" w:cs="仿宋_GB2312"/>
          <w:sz w:val="32"/>
          <w:szCs w:val="32"/>
        </w:rPr>
      </w:pPr>
      <w:r>
        <w:rPr>
          <w:rFonts w:hint="eastAsia" w:eastAsia="仿宋_GB2312" w:cs="仿宋_GB2312"/>
          <w:sz w:val="32"/>
          <w:szCs w:val="32"/>
        </w:rPr>
        <w:t>（一）《中华人民共和国预算法》、国家其他相关法律、法规和规章制度；</w:t>
      </w:r>
    </w:p>
    <w:p>
      <w:pPr>
        <w:spacing w:line="600" w:lineRule="exact"/>
        <w:ind w:firstLine="640" w:firstLineChars="200"/>
        <w:rPr>
          <w:rFonts w:eastAsia="仿宋_GB2312" w:cs="仿宋_GB2312"/>
          <w:sz w:val="32"/>
          <w:szCs w:val="32"/>
        </w:rPr>
      </w:pPr>
      <w:r>
        <w:rPr>
          <w:rFonts w:hint="eastAsia" w:eastAsia="仿宋_GB2312" w:cs="仿宋_GB2312"/>
          <w:sz w:val="32"/>
          <w:szCs w:val="32"/>
        </w:rPr>
        <w:t>（二）《中共中央 国务院关于全面实施预算绩效管理的意见》（中发〔2018〕34号）、《中共湖南省委办公厅 湖南省人民政府办公厅关于全面实施预算绩效管理的实施意见》（湘办发〔2019〕10号）；</w:t>
      </w:r>
    </w:p>
    <w:p>
      <w:pPr>
        <w:spacing w:line="600" w:lineRule="exact"/>
        <w:ind w:firstLine="640" w:firstLineChars="200"/>
        <w:rPr>
          <w:rFonts w:eastAsia="仿宋_GB2312" w:cs="仿宋_GB2312"/>
          <w:sz w:val="32"/>
          <w:szCs w:val="32"/>
        </w:rPr>
      </w:pPr>
      <w:r>
        <w:rPr>
          <w:rFonts w:hint="eastAsia" w:eastAsia="仿宋_GB2312" w:cs="仿宋_GB2312"/>
          <w:sz w:val="32"/>
          <w:szCs w:val="32"/>
        </w:rPr>
        <w:t>（三）州委、州政府制定的国民经济与社会发展规划及方针政策，关于重点工作或重大项目印发的指导意见和工作要求等文件；</w:t>
      </w:r>
    </w:p>
    <w:p>
      <w:pPr>
        <w:spacing w:line="600" w:lineRule="exact"/>
        <w:ind w:firstLine="640" w:firstLineChars="200"/>
        <w:rPr>
          <w:rFonts w:eastAsia="仿宋_GB2312" w:cs="仿宋_GB2312"/>
          <w:sz w:val="32"/>
          <w:szCs w:val="32"/>
        </w:rPr>
      </w:pPr>
      <w:r>
        <w:rPr>
          <w:rFonts w:hint="eastAsia" w:eastAsia="仿宋_GB2312" w:cs="仿宋_GB2312"/>
          <w:sz w:val="32"/>
          <w:szCs w:val="32"/>
        </w:rPr>
        <w:t>（四）预算管理和绩效评价相关制度和文件；</w:t>
      </w:r>
    </w:p>
    <w:p>
      <w:pPr>
        <w:spacing w:line="600" w:lineRule="exact"/>
        <w:ind w:firstLine="640" w:firstLineChars="200"/>
        <w:rPr>
          <w:rFonts w:eastAsia="仿宋_GB2312" w:cs="仿宋_GB2312"/>
          <w:sz w:val="32"/>
          <w:szCs w:val="32"/>
        </w:rPr>
      </w:pPr>
      <w:r>
        <w:rPr>
          <w:rFonts w:hint="eastAsia" w:eastAsia="仿宋_GB2312" w:cs="仿宋_GB2312"/>
          <w:sz w:val="32"/>
          <w:szCs w:val="32"/>
        </w:rPr>
        <w:t>（五）州级预算部门“三定”方案、中长期事业发展规划及年度工作计划；</w:t>
      </w:r>
    </w:p>
    <w:p>
      <w:pPr>
        <w:spacing w:line="600" w:lineRule="exact"/>
        <w:ind w:firstLine="640" w:firstLineChars="200"/>
        <w:rPr>
          <w:rFonts w:eastAsia="仿宋_GB2312" w:cs="仿宋_GB2312"/>
          <w:sz w:val="32"/>
          <w:szCs w:val="32"/>
        </w:rPr>
      </w:pPr>
      <w:r>
        <w:rPr>
          <w:rFonts w:hint="eastAsia" w:eastAsia="仿宋_GB2312" w:cs="仿宋_GB2312"/>
          <w:sz w:val="32"/>
          <w:szCs w:val="32"/>
        </w:rPr>
        <w:t>（六）预算批复时确定的绩效目标及指标，预算部门年度预算执行情况，年度决算报告等相关材料；</w:t>
      </w:r>
    </w:p>
    <w:p>
      <w:pPr>
        <w:spacing w:line="600" w:lineRule="exact"/>
        <w:ind w:firstLine="640" w:firstLineChars="200"/>
        <w:rPr>
          <w:rFonts w:eastAsia="仿宋_GB2312" w:cs="仿宋_GB2312"/>
          <w:sz w:val="32"/>
          <w:szCs w:val="32"/>
        </w:rPr>
      </w:pPr>
      <w:r>
        <w:rPr>
          <w:rFonts w:hint="eastAsia" w:eastAsia="仿宋_GB2312" w:cs="仿宋_GB2312"/>
          <w:sz w:val="32"/>
          <w:szCs w:val="32"/>
        </w:rPr>
        <w:t>（七）项目设立背景和目标，项目及资金管理办法、财务会计资料；</w:t>
      </w:r>
    </w:p>
    <w:p>
      <w:pPr>
        <w:spacing w:line="600" w:lineRule="exact"/>
        <w:ind w:firstLine="640" w:firstLineChars="200"/>
        <w:rPr>
          <w:rFonts w:eastAsia="仿宋_GB2312" w:cs="仿宋_GB2312"/>
          <w:sz w:val="32"/>
          <w:szCs w:val="32"/>
        </w:rPr>
      </w:pPr>
      <w:r>
        <w:rPr>
          <w:rFonts w:hint="eastAsia" w:eastAsia="仿宋_GB2312" w:cs="仿宋_GB2312"/>
          <w:sz w:val="32"/>
          <w:szCs w:val="32"/>
        </w:rPr>
        <w:t>（八）人大预决算审查报告、审计报告及决定、财政稽核监督报告等；</w:t>
      </w:r>
    </w:p>
    <w:p>
      <w:pPr>
        <w:spacing w:line="600" w:lineRule="exact"/>
        <w:ind w:firstLine="640" w:firstLineChars="200"/>
        <w:rPr>
          <w:rFonts w:eastAsia="仿宋_GB2312" w:cs="仿宋_GB2312"/>
          <w:sz w:val="32"/>
          <w:szCs w:val="32"/>
        </w:rPr>
      </w:pPr>
      <w:r>
        <w:rPr>
          <w:rFonts w:hint="eastAsia" w:eastAsia="仿宋_GB2312" w:cs="仿宋_GB2312"/>
          <w:sz w:val="32"/>
          <w:szCs w:val="32"/>
        </w:rPr>
        <w:t>（九）相关行业政策、行业标准及专业技术规范；</w:t>
      </w:r>
    </w:p>
    <w:p>
      <w:pPr>
        <w:spacing w:line="600" w:lineRule="exact"/>
        <w:ind w:firstLine="640" w:firstLineChars="200"/>
        <w:rPr>
          <w:rFonts w:eastAsia="仿宋_GB2312" w:cs="仿宋_GB2312"/>
          <w:sz w:val="32"/>
          <w:szCs w:val="32"/>
        </w:rPr>
      </w:pPr>
      <w:r>
        <w:rPr>
          <w:rFonts w:hint="eastAsia" w:eastAsia="仿宋_GB2312" w:cs="仿宋_GB2312"/>
          <w:sz w:val="32"/>
          <w:szCs w:val="32"/>
        </w:rPr>
        <w:t>（十）其他相关资料。</w:t>
      </w:r>
    </w:p>
    <w:p>
      <w:pPr>
        <w:spacing w:line="600" w:lineRule="exact"/>
        <w:ind w:firstLine="640" w:firstLineChars="200"/>
        <w:rPr>
          <w:rFonts w:eastAsia="黑体"/>
          <w:sz w:val="32"/>
          <w:szCs w:val="32"/>
        </w:rPr>
      </w:pPr>
      <w:r>
        <w:rPr>
          <w:rFonts w:eastAsia="黑体"/>
          <w:sz w:val="32"/>
          <w:szCs w:val="32"/>
        </w:rPr>
        <w:t>三、自评主要内容</w:t>
      </w:r>
    </w:p>
    <w:p>
      <w:pPr>
        <w:spacing w:line="600" w:lineRule="exact"/>
        <w:ind w:firstLine="640" w:firstLineChars="200"/>
        <w:rPr>
          <w:rFonts w:eastAsia="仿宋_GB2312" w:cs="仿宋_GB2312"/>
          <w:sz w:val="32"/>
          <w:szCs w:val="32"/>
        </w:rPr>
      </w:pPr>
      <w:r>
        <w:rPr>
          <w:rFonts w:hint="eastAsia" w:eastAsia="仿宋_GB2312" w:cs="仿宋_GB2312"/>
          <w:sz w:val="32"/>
          <w:szCs w:val="32"/>
        </w:rPr>
        <w:t>绩效自评的内容主要包括部门整体支出总体绩效目标、各项绩效指标完成情况以及预算执行情况。对未完成绩效目标或偏离绩效目标较大的要分析并说明原因，研究提出改进措施。同时，围绕部门（单位）职责、行业发展规划，以预算资金管理为主线，总结部门（单位）资产管理和业务开展情况，从运行成本、管理效率、履职效能、社会效应、可持续发展能力和服务对象满意度等方面，衡量部门（单位）整体及核心业务实施效果。</w:t>
      </w:r>
    </w:p>
    <w:p>
      <w:pPr>
        <w:spacing w:line="600" w:lineRule="exact"/>
        <w:ind w:firstLine="640" w:firstLineChars="200"/>
        <w:rPr>
          <w:rFonts w:eastAsia="黑体"/>
          <w:sz w:val="32"/>
          <w:szCs w:val="32"/>
        </w:rPr>
      </w:pPr>
      <w:r>
        <w:rPr>
          <w:rFonts w:eastAsia="黑体"/>
          <w:sz w:val="32"/>
          <w:szCs w:val="32"/>
        </w:rPr>
        <w:t>四、自评程序和步骤</w:t>
      </w:r>
    </w:p>
    <w:p>
      <w:pPr>
        <w:spacing w:line="600" w:lineRule="exact"/>
        <w:ind w:firstLine="640" w:firstLineChars="200"/>
        <w:rPr>
          <w:rFonts w:eastAsia="仿宋_GB2312" w:cs="仿宋_GB2312"/>
          <w:sz w:val="32"/>
          <w:szCs w:val="32"/>
        </w:rPr>
      </w:pPr>
      <w:r>
        <w:rPr>
          <w:rFonts w:hint="eastAsia" w:eastAsia="仿宋_GB2312" w:cs="仿宋_GB2312"/>
          <w:sz w:val="32"/>
          <w:szCs w:val="32"/>
        </w:rPr>
        <w:t>（一）单位自查。根据本规程第十二条第（一）款的内容拟定，对转移支付项目单位向同级主管部门报送绩效自查材料作出具体时间规定，并对县、市级主管部门逐级报送作出相应的时间规定。</w:t>
      </w:r>
    </w:p>
    <w:p>
      <w:pPr>
        <w:spacing w:line="600" w:lineRule="exact"/>
        <w:ind w:firstLine="640" w:firstLineChars="200"/>
        <w:rPr>
          <w:rFonts w:eastAsia="仿宋_GB2312" w:cs="仿宋_GB2312"/>
          <w:sz w:val="32"/>
          <w:szCs w:val="32"/>
        </w:rPr>
      </w:pPr>
      <w:r>
        <w:rPr>
          <w:rFonts w:hint="eastAsia" w:eastAsia="仿宋_GB2312" w:cs="仿宋_GB2312"/>
          <w:sz w:val="32"/>
          <w:szCs w:val="32"/>
        </w:rPr>
        <w:t>（二）总结绩效。根据本规程第十三条第（一）款的内容拟定。</w:t>
      </w:r>
    </w:p>
    <w:p>
      <w:pPr>
        <w:spacing w:line="600" w:lineRule="exact"/>
        <w:ind w:firstLine="640" w:firstLineChars="200"/>
        <w:rPr>
          <w:rFonts w:eastAsia="黑体"/>
          <w:sz w:val="32"/>
          <w:szCs w:val="32"/>
        </w:rPr>
      </w:pPr>
      <w:r>
        <w:rPr>
          <w:rFonts w:eastAsia="黑体"/>
          <w:sz w:val="32"/>
          <w:szCs w:val="32"/>
        </w:rPr>
        <w:t>五、有关要求</w:t>
      </w:r>
    </w:p>
    <w:p>
      <w:pPr>
        <w:spacing w:line="600" w:lineRule="exact"/>
        <w:ind w:left="640"/>
        <w:rPr>
          <w:rFonts w:eastAsia="仿宋_GB2312"/>
          <w:sz w:val="32"/>
          <w:szCs w:val="32"/>
        </w:rPr>
      </w:pPr>
    </w:p>
    <w:p>
      <w:pPr>
        <w:spacing w:line="600" w:lineRule="exact"/>
        <w:ind w:firstLine="640" w:firstLineChars="200"/>
        <w:rPr>
          <w:rFonts w:eastAsia="仿宋_GB2312" w:cs="仿宋_GB2312"/>
          <w:sz w:val="32"/>
          <w:szCs w:val="32"/>
        </w:rPr>
      </w:pPr>
      <w:r>
        <w:rPr>
          <w:rFonts w:hint="eastAsia" w:eastAsia="仿宋_GB2312" w:cs="仿宋_GB2312"/>
          <w:sz w:val="32"/>
          <w:szCs w:val="32"/>
        </w:rPr>
        <w:t>通知附件包括：</w:t>
      </w:r>
    </w:p>
    <w:p>
      <w:pPr>
        <w:spacing w:line="600" w:lineRule="exact"/>
        <w:ind w:firstLine="640" w:firstLineChars="200"/>
        <w:rPr>
          <w:rFonts w:eastAsia="仿宋_GB2312" w:cs="仿宋_GB2312"/>
          <w:sz w:val="32"/>
          <w:szCs w:val="32"/>
        </w:rPr>
      </w:pPr>
      <w:r>
        <w:rPr>
          <w:rFonts w:hint="eastAsia" w:eastAsia="仿宋_GB2312" w:cs="仿宋_GB2312"/>
          <w:sz w:val="32"/>
          <w:szCs w:val="32"/>
        </w:rPr>
        <w:t>1、州级预算部门整体支出绩效评价基础数据表</w:t>
      </w:r>
    </w:p>
    <w:p>
      <w:pPr>
        <w:spacing w:line="600" w:lineRule="exact"/>
        <w:ind w:firstLine="640" w:firstLineChars="200"/>
        <w:rPr>
          <w:rFonts w:eastAsia="仿宋_GB2312" w:cs="仿宋_GB2312"/>
          <w:sz w:val="32"/>
          <w:szCs w:val="32"/>
        </w:rPr>
      </w:pPr>
      <w:r>
        <w:rPr>
          <w:rFonts w:hint="eastAsia" w:eastAsia="仿宋_GB2312" w:cs="仿宋_GB2312"/>
          <w:sz w:val="32"/>
          <w:szCs w:val="32"/>
        </w:rPr>
        <w:t>2、州级预算部门整体支出绩效自评表</w:t>
      </w:r>
    </w:p>
    <w:p>
      <w:pPr>
        <w:spacing w:line="600" w:lineRule="exact"/>
        <w:ind w:firstLine="640" w:firstLineChars="200"/>
        <w:rPr>
          <w:rFonts w:eastAsia="仿宋_GB2312" w:cs="仿宋_GB2312"/>
          <w:sz w:val="32"/>
          <w:szCs w:val="32"/>
        </w:rPr>
      </w:pPr>
      <w:r>
        <w:rPr>
          <w:rFonts w:hint="eastAsia" w:eastAsia="仿宋_GB2312" w:cs="仿宋_GB2312"/>
          <w:sz w:val="32"/>
          <w:szCs w:val="32"/>
        </w:rPr>
        <w:t>3、州级预算部门项目支出绩效自评表</w:t>
      </w:r>
    </w:p>
    <w:p>
      <w:pPr>
        <w:spacing w:line="600" w:lineRule="exact"/>
        <w:ind w:firstLine="640" w:firstLineChars="200"/>
        <w:rPr>
          <w:rFonts w:eastAsia="仿宋_GB2312" w:cs="仿宋_GB2312"/>
          <w:sz w:val="32"/>
          <w:szCs w:val="32"/>
        </w:rPr>
      </w:pPr>
      <w:r>
        <w:rPr>
          <w:rFonts w:hint="eastAsia" w:eastAsia="仿宋_GB2312" w:cs="仿宋_GB2312"/>
          <w:sz w:val="32"/>
          <w:szCs w:val="32"/>
        </w:rPr>
        <w:t>4、州级预算部门政府性基金预算支出绩效自评表</w:t>
      </w:r>
    </w:p>
    <w:p>
      <w:pPr>
        <w:spacing w:line="600" w:lineRule="exact"/>
        <w:ind w:left="1118" w:leftChars="304" w:hanging="480" w:hangingChars="150"/>
        <w:rPr>
          <w:rFonts w:eastAsia="仿宋_GB2312" w:cs="仿宋_GB2312"/>
          <w:sz w:val="32"/>
          <w:szCs w:val="32"/>
        </w:rPr>
      </w:pPr>
      <w:r>
        <w:rPr>
          <w:rFonts w:hint="eastAsia" w:eastAsia="仿宋_GB2312" w:cs="仿宋_GB2312"/>
          <w:sz w:val="32"/>
          <w:szCs w:val="32"/>
        </w:rPr>
        <w:t>5、州级预算部门国有资本经营预算支出绩效自评表</w:t>
      </w:r>
    </w:p>
    <w:p>
      <w:pPr>
        <w:spacing w:line="600" w:lineRule="exact"/>
        <w:ind w:left="1118" w:leftChars="304" w:hanging="480" w:hangingChars="150"/>
        <w:rPr>
          <w:rFonts w:eastAsia="仿宋_GB2312" w:cs="仿宋_GB2312"/>
          <w:sz w:val="32"/>
          <w:szCs w:val="32"/>
        </w:rPr>
      </w:pPr>
      <w:r>
        <w:rPr>
          <w:rFonts w:hint="eastAsia" w:eastAsia="仿宋_GB2312" w:cs="仿宋_GB2312"/>
          <w:sz w:val="32"/>
          <w:szCs w:val="32"/>
        </w:rPr>
        <w:t>6、州级预算部门社会保险基金预算支出绩效自评表</w:t>
      </w:r>
    </w:p>
    <w:p>
      <w:pPr>
        <w:spacing w:line="600" w:lineRule="exact"/>
        <w:ind w:left="1118" w:leftChars="304" w:hanging="480" w:hangingChars="150"/>
        <w:rPr>
          <w:rFonts w:eastAsia="仿宋_GB2312" w:cs="仿宋_GB2312"/>
          <w:sz w:val="32"/>
          <w:szCs w:val="32"/>
        </w:rPr>
      </w:pPr>
      <w:r>
        <w:rPr>
          <w:rFonts w:hint="eastAsia" w:eastAsia="仿宋_GB2312" w:cs="仿宋_GB2312"/>
          <w:sz w:val="32"/>
          <w:szCs w:val="32"/>
        </w:rPr>
        <w:t>7、湘西经济开发区吉凤街道办事处2020年度部门整体支出绩效自评报告格式（参考本规程中附件8的格式，由州级预算部门自行设计）</w:t>
      </w:r>
    </w:p>
    <w:p>
      <w:pPr>
        <w:spacing w:line="600" w:lineRule="exact"/>
        <w:ind w:left="2137" w:leftChars="766" w:hanging="528" w:hangingChars="165"/>
        <w:rPr>
          <w:rFonts w:eastAsia="仿宋_GB2312" w:cs="仿宋_GB2312"/>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spacing w:before="120" w:beforeLines="50" w:line="560" w:lineRule="exact"/>
        <w:jc w:val="center"/>
        <w:rPr>
          <w:rFonts w:hint="eastAsia" w:eastAsia="方正小标宋简体" w:cs="方正小标宋简体"/>
          <w:sz w:val="44"/>
          <w:szCs w:val="44"/>
        </w:rPr>
      </w:pPr>
    </w:p>
    <w:p>
      <w:pPr>
        <w:spacing w:before="120" w:beforeLines="50" w:line="560" w:lineRule="exact"/>
        <w:jc w:val="center"/>
        <w:rPr>
          <w:rFonts w:ascii="方正小标宋简体" w:hAnsi="方正小标宋简体" w:eastAsia="方正小标宋简体" w:cs="方正小标宋简体"/>
          <w:sz w:val="44"/>
          <w:szCs w:val="44"/>
        </w:rPr>
      </w:pPr>
      <w:bookmarkStart w:id="5" w:name="_GoBack"/>
      <w:bookmarkEnd w:id="5"/>
      <w:r>
        <w:rPr>
          <w:rFonts w:hint="eastAsia" w:eastAsia="方正小标宋简体" w:cs="方正小标宋简体"/>
          <w:sz w:val="44"/>
          <w:szCs w:val="44"/>
        </w:rPr>
        <w:t>州级预算</w:t>
      </w:r>
      <w:r>
        <w:rPr>
          <w:rFonts w:hint="eastAsia" w:ascii="方正小标宋简体" w:hAnsi="方正小标宋简体" w:eastAsia="方正小标宋简体" w:cs="方正小标宋简体"/>
          <w:sz w:val="44"/>
          <w:szCs w:val="44"/>
        </w:rPr>
        <w:t>部门整体支出绩效评价基础数据表</w:t>
      </w:r>
    </w:p>
    <w:p>
      <w:pPr>
        <w:spacing w:after="120" w:afterLines="50"/>
        <w:ind w:left="91"/>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（以2021年对2020年度部门整体支出绩效自评为例）</w:t>
      </w:r>
      <w:r>
        <w:rPr>
          <w:rFonts w:hint="eastAsia" w:ascii="楷体_GB2312" w:hAnsi="楷体_GB2312" w:eastAsia="楷体_GB2312" w:cs="楷体_GB2312"/>
          <w:sz w:val="32"/>
          <w:szCs w:val="32"/>
        </w:rPr>
        <w:tab/>
      </w:r>
    </w:p>
    <w:tbl>
      <w:tblPr>
        <w:tblStyle w:val="6"/>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0"/>
        <w:gridCol w:w="993"/>
        <w:gridCol w:w="849"/>
        <w:gridCol w:w="1129"/>
        <w:gridCol w:w="1306"/>
        <w:gridCol w:w="939"/>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财政供养人员情况</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2020年末编制数</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2020年末实际在职人数</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　49</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49　</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经费控制情况</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2019年决算数</w:t>
            </w:r>
          </w:p>
          <w:p>
            <w:pPr>
              <w:spacing w:line="300" w:lineRule="exact"/>
              <w:jc w:val="center"/>
              <w:rPr>
                <w:rFonts w:ascii="仿宋_GB2312" w:hAnsi="仿宋" w:eastAsia="仿宋_GB2312" w:cs="仿宋"/>
                <w:szCs w:val="21"/>
              </w:rPr>
            </w:pPr>
            <w:r>
              <w:rPr>
                <w:rFonts w:hint="eastAsia" w:ascii="仿宋_GB2312" w:hAnsi="仿宋" w:eastAsia="仿宋_GB2312" w:cs="仿宋"/>
                <w:szCs w:val="21"/>
              </w:rPr>
              <w:t>（万元）</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2020年预算数</w:t>
            </w:r>
          </w:p>
          <w:p>
            <w:pPr>
              <w:spacing w:line="300" w:lineRule="exact"/>
              <w:jc w:val="center"/>
              <w:rPr>
                <w:rFonts w:ascii="仿宋_GB2312" w:hAnsi="仿宋" w:eastAsia="仿宋_GB2312" w:cs="仿宋"/>
                <w:szCs w:val="21"/>
              </w:rPr>
            </w:pPr>
            <w:r>
              <w:rPr>
                <w:rFonts w:hint="eastAsia" w:ascii="仿宋_GB2312" w:hAnsi="仿宋" w:eastAsia="仿宋_GB2312" w:cs="仿宋"/>
                <w:szCs w:val="21"/>
              </w:rPr>
              <w:t>（万元）</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2020年决算数</w:t>
            </w:r>
          </w:p>
          <w:p>
            <w:pPr>
              <w:spacing w:line="300" w:lineRule="exact"/>
              <w:jc w:val="center"/>
              <w:rPr>
                <w:rFonts w:ascii="仿宋_GB2312" w:hAnsi="仿宋" w:eastAsia="仿宋_GB2312" w:cs="仿宋"/>
                <w:szCs w:val="21"/>
              </w:rPr>
            </w:pPr>
            <w:r>
              <w:rPr>
                <w:rFonts w:hint="eastAsia" w:ascii="仿宋_GB2312" w:hAnsi="仿宋" w:eastAsia="仿宋_GB2312"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三公经费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10.28</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1、公务用车购置和运行维护费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2.78</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其中：公务用车购置费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公务用车运行维护费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2、因公出国（境）费用</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3、公务接待费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7.50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项目支出：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1042.20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606.00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646.33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201一般公共服务支出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60.00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100.00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206科学技术支出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28.00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208社会保障和就业支出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130.84</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120.00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165.53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210卫生健康支出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18.72</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211节能环保支出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339.91</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200.00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212城乡社区支出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485.09</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158.00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225.54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213农林水支出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1.64</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215资源勘探工业信息等支出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224灾害防治及应急管理支出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4.00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229其他支出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2.01</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32.16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公用经费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155.91</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152.00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其中：办公费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29.25</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40.00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水费、电费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36.96</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45.00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31.64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0" w:firstLineChars="500"/>
              <w:jc w:val="left"/>
              <w:rPr>
                <w:rFonts w:ascii="仿宋_GB2312" w:hAnsi="仿宋" w:eastAsia="仿宋_GB2312" w:cs="仿宋"/>
                <w:szCs w:val="21"/>
              </w:rPr>
            </w:pPr>
            <w:r>
              <w:rPr>
                <w:rFonts w:hint="eastAsia" w:ascii="仿宋_GB2312" w:hAnsi="仿宋" w:eastAsia="仿宋_GB2312" w:cs="仿宋"/>
                <w:szCs w:val="21"/>
              </w:rPr>
              <w:t>差旅费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2.32</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0.80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会议费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0.70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0" w:firstLineChars="500"/>
              <w:jc w:val="left"/>
              <w:rPr>
                <w:rFonts w:ascii="仿宋_GB2312" w:hAnsi="仿宋" w:eastAsia="仿宋_GB2312" w:cs="仿宋"/>
                <w:szCs w:val="21"/>
              </w:rPr>
            </w:pPr>
            <w:r>
              <w:rPr>
                <w:rFonts w:hint="eastAsia" w:ascii="仿宋_GB2312" w:hAnsi="仿宋" w:eastAsia="仿宋_GB2312" w:cs="仿宋"/>
                <w:szCs w:val="21"/>
              </w:rPr>
              <w:t>培训费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政府采购金额</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部门基本支出预算调整 </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-90.35</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550"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楼堂馆所控制情况</w:t>
            </w:r>
            <w:r>
              <w:rPr>
                <w:rFonts w:hint="eastAsia" w:ascii="仿宋_GB2312" w:hAnsi="仿宋" w:eastAsia="仿宋_GB2312" w:cs="仿宋"/>
                <w:szCs w:val="21"/>
              </w:rPr>
              <w:br w:type="textWrapping"/>
            </w:r>
            <w:r>
              <w:rPr>
                <w:rFonts w:hint="eastAsia" w:ascii="仿宋_GB2312" w:hAnsi="仿宋" w:eastAsia="仿宋_GB2312" w:cs="仿宋"/>
                <w:szCs w:val="21"/>
              </w:rPr>
              <w:t>（2020年完工项目）</w:t>
            </w:r>
          </w:p>
        </w:tc>
        <w:tc>
          <w:tcPr>
            <w:tcW w:w="993"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批复规模</w:t>
            </w:r>
            <w:r>
              <w:rPr>
                <w:rFonts w:hint="eastAsia" w:ascii="仿宋_GB2312" w:hAnsi="仿宋" w:eastAsia="仿宋_GB2312" w:cs="仿宋"/>
                <w:szCs w:val="21"/>
              </w:rPr>
              <w:br w:type="textWrapping"/>
            </w:r>
            <w:r>
              <w:rPr>
                <w:rFonts w:hint="eastAsia" w:ascii="仿宋_GB2312" w:hAnsi="仿宋" w:eastAsia="仿宋_GB2312" w:cs="仿宋"/>
                <w:szCs w:val="21"/>
              </w:rPr>
              <w:t>（㎡）</w:t>
            </w:r>
          </w:p>
        </w:tc>
        <w:tc>
          <w:tcPr>
            <w:tcW w:w="84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实际规模（㎡）</w:t>
            </w:r>
          </w:p>
        </w:tc>
        <w:tc>
          <w:tcPr>
            <w:tcW w:w="112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规模控制率</w:t>
            </w:r>
          </w:p>
        </w:tc>
        <w:tc>
          <w:tcPr>
            <w:tcW w:w="130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预算投资（万元）</w:t>
            </w:r>
          </w:p>
        </w:tc>
        <w:tc>
          <w:tcPr>
            <w:tcW w:w="93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实际投资（万元）</w:t>
            </w:r>
          </w:p>
        </w:tc>
        <w:tc>
          <w:tcPr>
            <w:tcW w:w="8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0" w:type="dxa"/>
            <w:vMerge w:val="continue"/>
            <w:tcBorders>
              <w:top w:val="nil"/>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993"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84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112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130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93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8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厉行节约保障措施</w:t>
            </w:r>
          </w:p>
        </w:tc>
        <w:tc>
          <w:tcPr>
            <w:tcW w:w="6083" w:type="dxa"/>
            <w:gridSpan w:val="6"/>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一、打好“铁算盘”，有保有压控支出</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一方面，切实将保工资、保运转、保基本民生放在财政支出的优先位置，足额安排经费预算，确保各项工资、民生政策落实到位，不得留有“硬缺口”;加强财政资金调度，将国库资金优先保障“三保”支出，严禁非预算安排项目支出挤占库款影响“三保”保障。</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另一方面，大力压减一般性支出，严控“三公”经费支出，要求各级各部门严格落实一般性支出压减10%以上的要求，严格执行会议费、差旅费等经费开支的范围与标准，对不该开支或不必开支的事项一律不得开支;强化“三公”经费支出的必要性、合理性审核，对无实质性内容的公务活动一律不予安排支出，严禁以各种方式列支、转移、隐匿接待费开支，确保各单位“三公”经费压减3%左右。</w:t>
            </w:r>
          </w:p>
          <w:p>
            <w:pPr>
              <w:spacing w:line="300" w:lineRule="exact"/>
              <w:jc w:val="left"/>
              <w:rPr>
                <w:rFonts w:ascii="仿宋_GB2312" w:hAnsi="仿宋" w:eastAsia="仿宋_GB2312" w:cs="仿宋"/>
                <w:szCs w:val="21"/>
              </w:rPr>
            </w:pPr>
            <w:r>
              <w:rPr>
                <w:rFonts w:hint="eastAsia" w:ascii="仿宋_GB2312" w:hAnsi="仿宋" w:eastAsia="仿宋_GB2312" w:cs="仿宋"/>
                <w:szCs w:val="21"/>
              </w:rPr>
              <w:t>二、强化“硬约束”，优化管理提效能</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一是强化制度刚性约束。严格执行本级人民代表大会批准的预算，不得无预算、超预算安排支出，其中市级预算执行中原则上不再出台市级自行制定的500万元以上重大增支政策;严格执行国库集中支付制度，全面落实公务卡强制结算，强化财务动态监控，提高公务支出透明度。</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二是降低政府采购成本。加强政府采购管理，将采购价格测算方式由公开招标项目扩展到全部项目，严格执行经费预算和资产配置标准，通过市场化机制普遍降低购置成本;做大做优政府采购电子商城，将体育用品、公务印刷定点服务、公车维修定点服务等纳入目录，扩大采购覆盖范围。</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三是全面实施绩效评价。加强全过程预算绩效管理，落实事前绩效评估，提高财政资源配置效率;积极开展绩效运行监控，及时纠正偏差，防止资金使用过程中的“跑冒滴漏”;加大绩效信息公开力度，推进绩效目标与评价结果向人大报告和向社会公开;强化绩效评价结果应用，切实将评价结果与预算安排有机衔接，让绩效管理真正“长牙齿”。</w:t>
            </w:r>
          </w:p>
          <w:p>
            <w:pPr>
              <w:spacing w:line="300" w:lineRule="exact"/>
              <w:jc w:val="left"/>
              <w:rPr>
                <w:rFonts w:ascii="仿宋_GB2312" w:hAnsi="仿宋" w:eastAsia="仿宋_GB2312" w:cs="仿宋"/>
                <w:szCs w:val="21"/>
              </w:rPr>
            </w:pPr>
            <w:r>
              <w:rPr>
                <w:rFonts w:hint="eastAsia" w:ascii="仿宋_GB2312" w:hAnsi="仿宋" w:eastAsia="仿宋_GB2312" w:cs="仿宋"/>
                <w:szCs w:val="21"/>
              </w:rPr>
              <w:t>三、严防“擦边球”，明确标准转作风</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一是从严审批会议活动。对各类会议及大型活动实行年度计划管理，未列入计划的会议原则上不得召开，确保全市性会议同比减少20%以上;明确要求以党政机关名义主办的庆典、研讨会等大型活动未列入当年清单和计划的不得举办;完善因公出国(境)经费审核和出国(境)任务审批联动机制，进一步压缩出访人员数量和在国(境)外停留时间。</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二是严格控制办公费用。大兴艰苦奋斗之风，进一步加强办公用房管理，坚持集约统筹使用，杜绝超标准使用和违规占用等行为;严格控制机关大额固定资产的投入和处置，严禁购置高档办公用品，明确已到更新年限尚能继续使用的，不得报废处置，2019年办公设备购置支出争取同比下降5%;加快推行无纸化办公，减少纸质公文印制数量，提高水、电、油、气等利用效率，节约办公经费开支。</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三是坚决摒弃层层陪同。严格控制调研和出差陪同人数，切实根据工作需要，确定参加单位及领导，最大限度地减少随行人员数量，杜绝结伴、陪同调研或出差等现象;从简安排公务接待，市内公务接待一律不得安排宴请;接待单位应严格按照有关规定控制陪餐人数，不得要求下级单位层层陪同，与工作无关人员得不陪餐。</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四、着力“控源头”，多措并举把关口</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一是严格政府投资项目审核。从严控制办公用房维修改造项目及在建楼堂馆所项目建设规模，对未按规定程序审批、擅自扩大规模或提高标准的，一律不予安排或追加财政资金;认真开展建设项目可行性研究论证和财政承受能力评估论证，对确需“上马”的项目，应事先落实资金来源或资产平衡方案，否则一律不予实施。</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二是规范资产和编制管理。各单位应充分结合履职需要、存量资产状况，合理进行国有资产配置与管理，严格落实资产管理专人专账，做到账实相符;各级政府应严格按要求，向本级人大报告国有资产管理情况;严格执行机构编制集中统一管理和审批制度，对超编进人、超职数超规格配备干部等一律不予核拨经费和工资。</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三 是进一步强化监督考核。严明财经纪律，严禁向乡镇或收入征收部门和单位下达收入指标，确保财政收支真实性;加大纪检、巡察、审计监督力度，坚决打击违法违规增加财政收入、虚列财政支出等行为;持续保持反腐败斗争高压态势，坚持重遏制、强压力、长震慑，从严查处不正之风和腐败行为，使财经纪律成为带电的“高压线”。　</w:t>
            </w:r>
          </w:p>
        </w:tc>
      </w:tr>
    </w:tbl>
    <w:p>
      <w:pPr>
        <w:spacing w:line="360" w:lineRule="exact"/>
        <w:rPr>
          <w:rFonts w:ascii="仿宋_GB2312" w:hAnsi="仿宋" w:eastAsia="仿宋_GB2312" w:cs="仿宋"/>
          <w:szCs w:val="21"/>
        </w:rPr>
      </w:pPr>
      <w:r>
        <w:rPr>
          <w:rFonts w:hint="eastAsia" w:ascii="仿宋_GB2312" w:hAnsi="仿宋" w:eastAsia="仿宋_GB2312" w:cs="仿宋"/>
          <w:szCs w:val="21"/>
        </w:rPr>
        <w:t>说明：项目支出需要填报除基本支出以外的所有项目支出情况，公用经费填报基本支出中的一般商品和服务支出。</w:t>
      </w:r>
    </w:p>
    <w:p>
      <w:pPr>
        <w:spacing w:line="360" w:lineRule="exact"/>
        <w:rPr>
          <w:rFonts w:eastAsia="仿宋_GB2312"/>
          <w:sz w:val="24"/>
        </w:rPr>
      </w:pPr>
      <w:r>
        <w:rPr>
          <w:rFonts w:eastAsia="仿宋_GB2312"/>
          <w:sz w:val="24"/>
        </w:rPr>
        <w:t xml:space="preserve">单位负责人签字：填表人：     联系电话：填报日期： </w:t>
      </w:r>
      <w:r>
        <w:rPr>
          <w:rFonts w:hint="eastAsia" w:eastAsia="仿宋_GB2312"/>
          <w:sz w:val="24"/>
        </w:rPr>
        <w:t>年   月  日</w:t>
      </w: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部门整体支出绩效自评表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（2020年度）</w:t>
      </w:r>
    </w:p>
    <w:tbl>
      <w:tblPr>
        <w:tblStyle w:val="6"/>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298"/>
        <w:gridCol w:w="1212"/>
        <w:gridCol w:w="1083"/>
        <w:gridCol w:w="259"/>
        <w:gridCol w:w="994"/>
        <w:gridCol w:w="1104"/>
        <w:gridCol w:w="688"/>
        <w:gridCol w:w="87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州</w:t>
            </w:r>
            <w:r>
              <w:rPr>
                <w:rFonts w:eastAsia="仿宋_GB2312"/>
                <w:color w:val="000000"/>
              </w:rPr>
              <w:t>级预算部门名</w:t>
            </w:r>
            <w:r>
              <w:rPr>
                <w:rFonts w:hint="eastAsia" w:cs="宋体"/>
                <w:color w:val="000000"/>
              </w:rPr>
              <w:t>称</w:t>
            </w:r>
          </w:p>
        </w:tc>
        <w:tc>
          <w:tcPr>
            <w:tcW w:w="8909" w:type="dxa"/>
            <w:gridSpan w:val="9"/>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cs="宋体"/>
                <w:color w:val="000000"/>
              </w:rPr>
              <w:t>吉凤街道办事处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00" w:type="dxa"/>
            <w:vMerge w:val="restart"/>
            <w:tcBorders>
              <w:top w:val="nil"/>
              <w:left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年度</w:t>
            </w:r>
            <w:r>
              <w:rPr>
                <w:rFonts w:hint="eastAsia" w:cs="宋体"/>
                <w:color w:val="000000"/>
              </w:rPr>
              <w:t>预</w:t>
            </w:r>
          </w:p>
          <w:p>
            <w:pPr>
              <w:spacing w:line="260" w:lineRule="exact"/>
              <w:jc w:val="center"/>
              <w:rPr>
                <w:rFonts w:eastAsia="仿宋_GB2312"/>
                <w:color w:val="000000"/>
              </w:rPr>
            </w:pPr>
            <w:r>
              <w:rPr>
                <w:rFonts w:eastAsia="仿宋_GB2312"/>
                <w:color w:val="000000"/>
              </w:rPr>
              <w:t>算申请</w:t>
            </w:r>
            <w:r>
              <w:rPr>
                <w:rFonts w:eastAsia="仿宋_GB2312"/>
                <w:color w:val="000000"/>
              </w:rPr>
              <w:br w:type="textWrapping"/>
            </w:r>
            <w:r>
              <w:rPr>
                <w:rFonts w:eastAsia="仿宋_GB2312"/>
                <w:color w:val="000000"/>
              </w:rPr>
              <w:t>（万元</w:t>
            </w:r>
            <w:r>
              <w:rPr>
                <w:rFonts w:hint="eastAsia" w:cs="宋体"/>
                <w:color w:val="000000"/>
              </w:rPr>
              <w:t>）</w:t>
            </w: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p>
        </w:tc>
        <w:tc>
          <w:tcPr>
            <w:tcW w:w="1083" w:type="dxa"/>
            <w:tcBorders>
              <w:top w:val="single" w:color="auto" w:sz="4" w:space="0"/>
              <w:left w:val="nil"/>
              <w:bottom w:val="single" w:color="auto" w:sz="4" w:space="0"/>
              <w:right w:val="single" w:color="auto" w:sz="4" w:space="0"/>
            </w:tcBorders>
            <w:vAlign w:val="center"/>
          </w:tcPr>
          <w:p>
            <w:pPr>
              <w:spacing w:line="260" w:lineRule="exact"/>
              <w:jc w:val="center"/>
            </w:pPr>
            <w:r>
              <w:rPr>
                <w:rFonts w:eastAsia="仿宋_GB2312"/>
              </w:rPr>
              <w:t>年</w:t>
            </w:r>
            <w:r>
              <w:rPr>
                <w:rFonts w:hint="eastAsia" w:cs="宋体"/>
              </w:rPr>
              <w:t>初</w:t>
            </w:r>
          </w:p>
          <w:p>
            <w:pPr>
              <w:spacing w:line="260" w:lineRule="exact"/>
              <w:jc w:val="center"/>
            </w:pPr>
            <w:r>
              <w:rPr>
                <w:rFonts w:eastAsia="仿宋_GB2312"/>
              </w:rPr>
              <w:t>预算</w:t>
            </w:r>
            <w:r>
              <w:rPr>
                <w:rFonts w:hint="eastAsia" w:cs="宋体"/>
              </w:rPr>
              <w:t>数</w:t>
            </w: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eastAsia="仿宋_GB2312"/>
              </w:rPr>
              <w:t>全年</w:t>
            </w:r>
          </w:p>
          <w:p>
            <w:pPr>
              <w:spacing w:line="260" w:lineRule="exact"/>
              <w:jc w:val="center"/>
            </w:pPr>
            <w:r>
              <w:rPr>
                <w:rFonts w:eastAsia="仿宋_GB2312"/>
              </w:rPr>
              <w:t>预算</w:t>
            </w:r>
            <w:r>
              <w:rPr>
                <w:rFonts w:hint="eastAsia" w:cs="宋体"/>
              </w:rPr>
              <w:t>数</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pPr>
            <w:r>
              <w:rPr>
                <w:rFonts w:eastAsia="仿宋_GB2312"/>
              </w:rPr>
              <w:t>全</w:t>
            </w:r>
            <w:r>
              <w:rPr>
                <w:rFonts w:hint="eastAsia" w:cs="宋体"/>
              </w:rPr>
              <w:t>年</w:t>
            </w:r>
          </w:p>
          <w:p>
            <w:pPr>
              <w:spacing w:line="260" w:lineRule="exact"/>
              <w:jc w:val="center"/>
            </w:pPr>
            <w:r>
              <w:rPr>
                <w:rFonts w:eastAsia="仿宋_GB2312"/>
              </w:rPr>
              <w:t>执行</w:t>
            </w:r>
            <w:r>
              <w:rPr>
                <w:rFonts w:hint="eastAsia" w:cs="宋体"/>
              </w:rPr>
              <w:t>数</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eastAsia="仿宋_GB2312"/>
              </w:rPr>
              <w:t>分</w:t>
            </w:r>
            <w:r>
              <w:rPr>
                <w:rFonts w:hint="eastAsia" w:cs="宋体"/>
              </w:rPr>
              <w:t>值</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eastAsia="仿宋_GB2312"/>
              </w:rPr>
              <w:t>执行</w:t>
            </w:r>
            <w:r>
              <w:rPr>
                <w:rFonts w:hint="eastAsia" w:cs="宋体"/>
              </w:rPr>
              <w:t>率</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rPr>
                <w:rFonts w:eastAsia="仿宋_GB2312"/>
              </w:rPr>
            </w:pPr>
            <w:r>
              <w:rPr>
                <w:rFonts w:eastAsia="仿宋_GB2312"/>
                <w:color w:val="000000"/>
              </w:rPr>
              <w:t>年度资金总</w:t>
            </w:r>
            <w:r>
              <w:rPr>
                <w:rFonts w:hint="eastAsia" w:cs="宋体"/>
                <w:color w:val="000000"/>
              </w:rPr>
              <w:t>额</w:t>
            </w:r>
          </w:p>
        </w:tc>
        <w:tc>
          <w:tcPr>
            <w:tcW w:w="1083"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2058.47</w:t>
            </w: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hint="eastAsia" w:eastAsia="仿宋_GB2312"/>
                <w:color w:val="000000"/>
              </w:rPr>
              <w:t>2018.68</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2018.68</w:t>
            </w: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10</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401" w:type="dxa"/>
            <w:tcBorders>
              <w:top w:val="single" w:color="auto" w:sz="4" w:space="0"/>
              <w:left w:val="nil"/>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hint="eastAsia" w:eastAsia="仿宋_GB2312"/>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按收入性质分</w:t>
            </w:r>
            <w:r>
              <w:rPr>
                <w:rFonts w:hint="eastAsia" w:cs="宋体"/>
                <w:color w:val="000000"/>
              </w:rPr>
              <w:t>：</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 xml:space="preserve">  一般公共预算</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仿宋_GB2312"/>
                <w:color w:val="000000"/>
              </w:rPr>
            </w:pPr>
            <w:r>
              <w:rPr>
                <w:rFonts w:hint="eastAsia" w:eastAsia="仿宋_GB2312"/>
                <w:color w:val="000000"/>
              </w:rPr>
              <w:t>2058.47</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hint="eastAsia" w:eastAsia="仿宋_GB2312"/>
                <w:color w:val="000000"/>
              </w:rPr>
              <w:t>1521.79</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1521.79</w:t>
            </w: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政府性基金拨款</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纳入专户管理的非税收入拨款</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其他资金</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pStyle w:val="3"/>
              <w:snapToGrid/>
              <w:spacing w:line="260" w:lineRule="exact"/>
              <w:rPr>
                <w:rFonts w:eastAsia="仿宋_GB2312"/>
                <w:color w:val="000000"/>
                <w:kern w:val="2"/>
                <w:sz w:val="21"/>
                <w:szCs w:val="21"/>
              </w:rPr>
            </w:pPr>
            <w:r>
              <w:rPr>
                <w:rFonts w:eastAsia="仿宋_GB2312"/>
                <w:color w:val="000000"/>
                <w:kern w:val="2"/>
              </w:rPr>
              <w:t>按支出性质分</w:t>
            </w:r>
            <w:r>
              <w:rPr>
                <w:rFonts w:hint="eastAsia" w:cs="宋体"/>
                <w:color w:val="000000"/>
                <w:kern w:val="2"/>
              </w:rPr>
              <w:t>：</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基本支出</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1521.79</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hint="eastAsia" w:eastAsia="仿宋_GB2312"/>
                <w:color w:val="000000"/>
              </w:rPr>
              <w:t>1490.10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1490.10</w:t>
            </w: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项目支出</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hint="eastAsia" w:eastAsia="仿宋_GB2312"/>
                <w:color w:val="000000"/>
              </w:rPr>
              <w:t>536.68</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hint="eastAsia" w:eastAsia="仿宋_GB2312"/>
                <w:color w:val="000000"/>
              </w:rPr>
              <w:t>496.89</w:t>
            </w: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210" w:firstLineChars="100"/>
              <w:rPr>
                <w:rFonts w:eastAsia="仿宋_GB2312"/>
                <w:color w:val="000000"/>
              </w:rPr>
            </w:pPr>
            <w:r>
              <w:rPr>
                <w:rFonts w:hint="eastAsia" w:eastAsia="仿宋_GB2312"/>
                <w:color w:val="000000"/>
              </w:rPr>
              <w:t>496.89</w:t>
            </w: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年度总体目</w:t>
            </w:r>
            <w:r>
              <w:rPr>
                <w:rFonts w:hint="eastAsia" w:cs="宋体"/>
                <w:color w:val="000000"/>
              </w:rPr>
              <w:t>标</w:t>
            </w:r>
          </w:p>
        </w:tc>
        <w:tc>
          <w:tcPr>
            <w:tcW w:w="4846" w:type="dxa"/>
            <w:gridSpan w:val="5"/>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预期目</w:t>
            </w:r>
            <w:r>
              <w:rPr>
                <w:rFonts w:hint="eastAsia" w:eastAsia="仿宋_GB2312"/>
                <w:color w:val="000000"/>
              </w:rPr>
              <w:t>标</w:t>
            </w:r>
          </w:p>
        </w:tc>
        <w:tc>
          <w:tcPr>
            <w:tcW w:w="4063" w:type="dxa"/>
            <w:gridSpan w:val="4"/>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4846" w:type="dxa"/>
            <w:gridSpan w:val="5"/>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hint="eastAsia" w:eastAsia="仿宋_GB2312"/>
                <w:color w:val="000000"/>
              </w:rPr>
              <w:t>1、美化社区环境，完善基础设施建设。2、妥善解决上年度和本年度征拆对象的遗留问题，解决他们的实际生活困难。3、.确保三会一课、组织生活会等基本制度落实，党内活动得到正常开展。4、完成国防动员、兵役登记、民兵整组、征兵等年度任务5、宣传及资料费,营造党风廉政建设浓厚氛围；6、办案经费：营造风清气正政治生态。7、.廉政文化建设：弘扬廉政文化，营造廉洁氛围；8、警示教育活动：筑牢干部廉洁防线；9、学习培训：提升纪检干部业务能力水平，保证工作质量。10、“3.8”节，“6.1”节开展活动；民族文化进景区活动。11、奖扶资金及时发放；确保各项工作有序推进。12、做好辖区困难救助工作。13、做好单位工青妇工作。14、确保社区正常有序运转。</w:t>
            </w:r>
          </w:p>
        </w:tc>
        <w:tc>
          <w:tcPr>
            <w:tcW w:w="4063" w:type="dxa"/>
            <w:gridSpan w:val="4"/>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hint="eastAsia" w:eastAsia="仿宋_GB2312"/>
                <w:color w:val="000000"/>
              </w:rPr>
              <w:t>全面推进教育帮扶、医疗帮扶、就业帮扶等各项工作，积极巩固脱贫成果，落实各项帮扶措施。通过全员招工、公益性岗位、扶持个体创业、进厂就业等途径，全面消灭“零就业家庭”，对弱劳动力实施就业帮扶，围绕群众切身利益，实施一批民生工程，让辖区内居民共享发展成果，美丽湘西建设稳步推进，拆除违章建筑，违章工棚，征拆历史遗留问题顺利化解；完成龙凤晓冲安置区、木林坪安置区“最美社区”创建工作。通过文明单位、最美农家等创建评选活动，全力抓好辖区卫生，做到了干净整洁、井然有序、亮化、美化，进一步提升了居民的获得感、幸福感；“平安创建”、“扫黑除恶”专项行动，多种方式宣传扫黑除恶专项斗争的重要性和参与方式，公开举报方式和奖励规定，有效提升了扫黑除恶效果，无安全生产责任事故，无重大矛盾纠纷，社会治安良好，稳定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00"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29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一级指</w:t>
            </w:r>
            <w:r>
              <w:rPr>
                <w:rFonts w:hint="eastAsia" w:cs="宋体"/>
                <w:color w:val="000000"/>
              </w:rPr>
              <w:t>标</w:t>
            </w:r>
          </w:p>
        </w:tc>
        <w:tc>
          <w:tcPr>
            <w:tcW w:w="121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二级指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三级指</w:t>
            </w:r>
            <w:r>
              <w:rPr>
                <w:rFonts w:hint="eastAsia" w:cs="宋体"/>
                <w:color w:val="000000"/>
              </w:rPr>
              <w:t>标</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color w:val="000000"/>
              </w:rPr>
            </w:pPr>
            <w:r>
              <w:rPr>
                <w:rFonts w:eastAsia="仿宋_GB2312"/>
                <w:color w:val="000000"/>
              </w:rPr>
              <w:t>年</w:t>
            </w:r>
            <w:r>
              <w:rPr>
                <w:rFonts w:hint="eastAsia" w:cs="宋体"/>
                <w:color w:val="000000"/>
              </w:rPr>
              <w:t>度</w:t>
            </w:r>
          </w:p>
          <w:p>
            <w:pPr>
              <w:spacing w:line="260" w:lineRule="exact"/>
              <w:jc w:val="center"/>
              <w:rPr>
                <w:rFonts w:eastAsia="仿宋_GB2312"/>
                <w:color w:val="000000"/>
              </w:rPr>
            </w:pPr>
            <w:r>
              <w:rPr>
                <w:rFonts w:eastAsia="仿宋_GB2312"/>
                <w:color w:val="000000"/>
              </w:rPr>
              <w:t>指标</w:t>
            </w:r>
            <w:r>
              <w:rPr>
                <w:rFonts w:hint="eastAsia" w:cs="宋体"/>
                <w:color w:val="000000"/>
              </w:rPr>
              <w:t>值</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color w:val="000000"/>
              </w:rPr>
            </w:pPr>
            <w:r>
              <w:rPr>
                <w:rFonts w:eastAsia="仿宋_GB2312"/>
                <w:color w:val="000000"/>
              </w:rPr>
              <w:t>实</w:t>
            </w:r>
            <w:r>
              <w:rPr>
                <w:rFonts w:hint="eastAsia" w:cs="宋体"/>
                <w:color w:val="000000"/>
              </w:rPr>
              <w:t>际</w:t>
            </w:r>
          </w:p>
          <w:p>
            <w:pPr>
              <w:spacing w:line="260" w:lineRule="exact"/>
              <w:jc w:val="center"/>
              <w:rPr>
                <w:rFonts w:eastAsia="仿宋_GB2312"/>
                <w:color w:val="000000"/>
              </w:rPr>
            </w:pPr>
            <w:r>
              <w:rPr>
                <w:rFonts w:eastAsia="仿宋_GB2312"/>
                <w:color w:val="000000"/>
              </w:rPr>
              <w:t>完成</w:t>
            </w:r>
            <w:r>
              <w:rPr>
                <w:rFonts w:hint="eastAsia" w:cs="宋体"/>
                <w:color w:val="000000"/>
              </w:rPr>
              <w:t>值</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分</w:t>
            </w:r>
            <w:r>
              <w:rPr>
                <w:rFonts w:hint="eastAsia" w:cs="宋体"/>
                <w:color w:val="000000"/>
              </w:rPr>
              <w:t>值</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得</w:t>
            </w:r>
            <w:r>
              <w:rPr>
                <w:rFonts w:hint="eastAsia" w:cs="宋体"/>
                <w:color w:val="000000"/>
              </w:rPr>
              <w:t>分</w:t>
            </w:r>
          </w:p>
        </w:tc>
        <w:tc>
          <w:tcPr>
            <w:tcW w:w="1401" w:type="dxa"/>
            <w:tcBorders>
              <w:top w:val="single" w:color="auto" w:sz="4" w:space="0"/>
              <w:left w:val="nil"/>
              <w:bottom w:val="single" w:color="auto" w:sz="4" w:space="0"/>
              <w:right w:val="single" w:color="auto" w:sz="4" w:space="0"/>
            </w:tcBorders>
          </w:tcPr>
          <w:p>
            <w:pPr>
              <w:spacing w:line="260" w:lineRule="exact"/>
              <w:jc w:val="center"/>
              <w:rPr>
                <w:color w:val="000000"/>
              </w:rPr>
            </w:pPr>
            <w:r>
              <w:rPr>
                <w:rFonts w:eastAsia="仿宋_GB2312"/>
                <w:color w:val="000000"/>
              </w:rPr>
              <w:t>偏差原</w:t>
            </w:r>
            <w:r>
              <w:rPr>
                <w:rFonts w:hint="eastAsia" w:cs="宋体"/>
                <w:color w:val="000000"/>
              </w:rPr>
              <w:t>因</w:t>
            </w:r>
          </w:p>
          <w:p>
            <w:pPr>
              <w:spacing w:line="260" w:lineRule="exact"/>
              <w:jc w:val="center"/>
              <w:rPr>
                <w:color w:val="000000"/>
              </w:rPr>
            </w:pPr>
            <w:r>
              <w:rPr>
                <w:rFonts w:eastAsia="仿宋_GB2312"/>
                <w:color w:val="000000"/>
              </w:rPr>
              <w:t>分析</w:t>
            </w:r>
            <w:r>
              <w:rPr>
                <w:rFonts w:hint="eastAsia" w:cs="宋体"/>
                <w:color w:val="000000"/>
              </w:rPr>
              <w:t>及</w:t>
            </w:r>
          </w:p>
          <w:p>
            <w:pPr>
              <w:spacing w:line="26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产出指</w:t>
            </w:r>
            <w:r>
              <w:rPr>
                <w:rFonts w:hint="eastAsia" w:cs="宋体"/>
                <w:color w:val="000000"/>
              </w:rPr>
              <w:t>标</w:t>
            </w:r>
          </w:p>
          <w:p>
            <w:pPr>
              <w:spacing w:line="260" w:lineRule="exact"/>
              <w:jc w:val="center"/>
              <w:rPr>
                <w:rFonts w:eastAsia="仿宋_GB2312"/>
                <w:color w:val="000000"/>
              </w:rPr>
            </w:pPr>
            <w:r>
              <w:rPr>
                <w:rFonts w:eastAsia="仿宋_GB2312"/>
                <w:color w:val="000000"/>
              </w:rPr>
              <w:t>(50分)</w:t>
            </w: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数</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社区办公经费</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3</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3</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疫情防控</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3</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3</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低保人口</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3</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3</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计划生育率</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扶残助学</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义务兵等优抚金</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质</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城区各项工作办结率</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日常运转工作完成率</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p>
            <w:pPr>
              <w:spacing w:line="260" w:lineRule="exact"/>
              <w:jc w:val="center"/>
              <w:rPr>
                <w:rFonts w:eastAsia="仿宋_GB2312"/>
                <w:color w:val="000000"/>
              </w:rPr>
            </w:pPr>
            <w:r>
              <w:rPr>
                <w:rFonts w:hint="eastAsia" w:eastAsia="仿宋_GB2312"/>
                <w:color w:val="000000"/>
              </w:rPr>
              <w:t>10</w:t>
            </w:r>
          </w:p>
          <w:p>
            <w:pPr>
              <w:spacing w:line="260" w:lineRule="exact"/>
              <w:jc w:val="center"/>
              <w:rPr>
                <w:rFonts w:eastAsia="仿宋_GB2312"/>
                <w:color w:val="000000"/>
              </w:rPr>
            </w:pP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时</w:t>
            </w:r>
            <w:r>
              <w:rPr>
                <w:rFonts w:hint="eastAsia" w:cs="宋体"/>
                <w:color w:val="000000"/>
              </w:rPr>
              <w:t>效</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社区财务公开及时率</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文明城市创建工作</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全年</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成</w:t>
            </w:r>
            <w:r>
              <w:rPr>
                <w:rFonts w:hint="eastAsia" w:cs="宋体"/>
                <w:color w:val="000000"/>
              </w:rPr>
              <w:t>本</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三公经费控制率</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日常公用经费控制率</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效益指</w:t>
            </w:r>
            <w:r>
              <w:rPr>
                <w:rFonts w:hint="eastAsia" w:cs="宋体"/>
                <w:color w:val="000000"/>
              </w:rPr>
              <w:t>标</w:t>
            </w:r>
          </w:p>
          <w:p>
            <w:pPr>
              <w:spacing w:line="260" w:lineRule="exact"/>
              <w:ind w:firstLine="210" w:firstLineChars="100"/>
              <w:jc w:val="left"/>
              <w:rPr>
                <w:rFonts w:eastAsia="仿宋_GB2312"/>
                <w:color w:val="000000"/>
              </w:rPr>
            </w:pPr>
            <w:r>
              <w:rPr>
                <w:rFonts w:eastAsia="仿宋_GB2312"/>
                <w:color w:val="000000"/>
              </w:rPr>
              <w:t xml:space="preserve">（30分） </w:t>
            </w:r>
          </w:p>
        </w:tc>
        <w:tc>
          <w:tcPr>
            <w:tcW w:w="1212" w:type="dxa"/>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经济</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做好辖区内人口就业工作</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做好就业与再就业工作</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社会</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广泛开展文明城市创建工作</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全民参与，上下联动，创全国文明城市</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民政优抚金发放到位</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做到专款专用，不截留，无结余</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生态</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维护辖区内环境卫生</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引导居民养成文明习惯</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美丽社区建设</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美化社区环境，完善基础设施建设。</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可持续影响指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建设美丽社区工作及社区基础设施工作，美化社区。</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美化社区环境，完善基础设施建设。</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满意</w:t>
            </w:r>
            <w:r>
              <w:rPr>
                <w:rFonts w:hint="eastAsia" w:cs="宋体"/>
                <w:color w:val="000000"/>
              </w:rPr>
              <w:t>度</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p>
            <w:pPr>
              <w:spacing w:line="260" w:lineRule="exact"/>
              <w:jc w:val="center"/>
              <w:rPr>
                <w:rFonts w:eastAsia="仿宋_GB2312"/>
                <w:color w:val="000000"/>
              </w:rPr>
            </w:pPr>
            <w:r>
              <w:rPr>
                <w:rFonts w:eastAsia="仿宋_GB2312"/>
                <w:color w:val="000000"/>
              </w:rPr>
              <w:t>（10分</w:t>
            </w:r>
            <w:r>
              <w:rPr>
                <w:rFonts w:hint="eastAsia" w:cs="宋体"/>
                <w:color w:val="000000"/>
              </w:rPr>
              <w:t>）</w:t>
            </w: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服务对象满意度指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行政村满意度（%）</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95%</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4</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受益群众满意（%）</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95%</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4</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050"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总</w:t>
            </w:r>
            <w:r>
              <w:rPr>
                <w:rFonts w:hint="eastAsia" w:cs="宋体"/>
                <w:color w:val="000000"/>
              </w:rPr>
              <w:t>分</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100</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cs="宋体"/>
                <w:color w:val="000000"/>
              </w:rPr>
              <w:t>98</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bl>
    <w:p>
      <w:pPr>
        <w:spacing w:before="120" w:beforeLines="50"/>
        <w:jc w:val="left"/>
        <w:rPr>
          <w:rFonts w:eastAsia="方正小标宋简体" w:cs="方正小标宋简体"/>
          <w:sz w:val="36"/>
          <w:szCs w:val="36"/>
        </w:rPr>
      </w:pPr>
      <w:r>
        <w:rPr>
          <w:rFonts w:eastAsia="仿宋_GB2312"/>
          <w:sz w:val="24"/>
        </w:rPr>
        <w:t xml:space="preserve">单位负责人签字：填表人：     联系电话：填报日期： </w:t>
      </w:r>
      <w:r>
        <w:rPr>
          <w:rFonts w:hint="eastAsia" w:eastAsia="仿宋_GB2312"/>
          <w:sz w:val="24"/>
        </w:rPr>
        <w:t>年   月  日</w:t>
      </w:r>
    </w:p>
    <w:p>
      <w:pPr>
        <w:spacing w:line="400" w:lineRule="exact"/>
        <w:jc w:val="center"/>
        <w:rPr>
          <w:rFonts w:eastAsia="方正小标宋简体" w:cs="方正小标宋简体"/>
          <w:sz w:val="36"/>
          <w:szCs w:val="36"/>
        </w:rPr>
      </w:pPr>
    </w:p>
    <w:p>
      <w:pPr>
        <w:spacing w:line="40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（2020年度）</w:t>
      </w:r>
    </w:p>
    <w:tbl>
      <w:tblPr>
        <w:tblStyle w:val="6"/>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104"/>
        <w:gridCol w:w="1103"/>
        <w:gridCol w:w="2517"/>
        <w:gridCol w:w="1018"/>
        <w:gridCol w:w="915"/>
        <w:gridCol w:w="567"/>
        <w:gridCol w:w="760"/>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909" w:type="dxa"/>
            <w:gridSpan w:val="8"/>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城乡社区支出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5742"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　湘西经济开发区吉凤街道办事处</w:t>
            </w:r>
          </w:p>
        </w:tc>
        <w:tc>
          <w:tcPr>
            <w:tcW w:w="91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实施单</w:t>
            </w:r>
            <w:r>
              <w:rPr>
                <w:rFonts w:hint="eastAsia" w:eastAsia="仿宋_GB2312"/>
                <w:color w:val="000000"/>
              </w:rPr>
              <w:t>位</w:t>
            </w:r>
          </w:p>
        </w:tc>
        <w:tc>
          <w:tcPr>
            <w:tcW w:w="2252" w:type="dxa"/>
            <w:gridSpan w:val="3"/>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　湘西经济开发区吉凤街道办事处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92"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207"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2517"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年</w:t>
            </w:r>
            <w:r>
              <w:rPr>
                <w:rFonts w:hint="eastAsia" w:cs="宋体"/>
                <w:color w:val="000000"/>
              </w:rPr>
              <w:t>初</w:t>
            </w:r>
          </w:p>
          <w:p>
            <w:pPr>
              <w:jc w:val="center"/>
              <w:rPr>
                <w:color w:val="000000"/>
              </w:rPr>
            </w:pPr>
            <w:r>
              <w:rPr>
                <w:rFonts w:eastAsia="仿宋_GB2312"/>
                <w:color w:val="000000"/>
              </w:rPr>
              <w:t>预算</w:t>
            </w:r>
            <w:r>
              <w:rPr>
                <w:rFonts w:hint="eastAsia" w:cs="宋体"/>
                <w:color w:val="000000"/>
              </w:rPr>
              <w:t>数</w:t>
            </w:r>
          </w:p>
        </w:tc>
        <w:tc>
          <w:tcPr>
            <w:tcW w:w="1018"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全</w:t>
            </w:r>
            <w:r>
              <w:rPr>
                <w:rFonts w:hint="eastAsia" w:cs="宋体"/>
                <w:color w:val="000000"/>
              </w:rPr>
              <w:t>年</w:t>
            </w:r>
          </w:p>
          <w:p>
            <w:pPr>
              <w:jc w:val="center"/>
              <w:rPr>
                <w:color w:val="000000"/>
              </w:rPr>
            </w:pPr>
            <w:r>
              <w:rPr>
                <w:rFonts w:eastAsia="仿宋_GB2312"/>
                <w:color w:val="000000"/>
              </w:rPr>
              <w:t>预算</w:t>
            </w:r>
            <w:r>
              <w:rPr>
                <w:rFonts w:hint="eastAsia" w:cs="宋体"/>
                <w:color w:val="000000"/>
              </w:rPr>
              <w:t>数</w:t>
            </w:r>
          </w:p>
        </w:tc>
        <w:tc>
          <w:tcPr>
            <w:tcW w:w="915" w:type="dxa"/>
            <w:tcBorders>
              <w:top w:val="single" w:color="auto" w:sz="4" w:space="0"/>
              <w:left w:val="nil"/>
              <w:bottom w:val="single" w:color="auto" w:sz="4" w:space="0"/>
              <w:right w:val="single" w:color="auto" w:sz="4" w:space="0"/>
            </w:tcBorders>
            <w:vAlign w:val="center"/>
          </w:tcPr>
          <w:p>
            <w:pPr>
              <w:jc w:val="center"/>
            </w:pPr>
            <w:r>
              <w:rPr>
                <w:rFonts w:eastAsia="仿宋_GB2312"/>
              </w:rPr>
              <w:t>全</w:t>
            </w:r>
            <w:r>
              <w:rPr>
                <w:rFonts w:hint="eastAsia" w:cs="宋体"/>
              </w:rPr>
              <w:t>年</w:t>
            </w:r>
          </w:p>
          <w:p>
            <w:pPr>
              <w:jc w:val="center"/>
            </w:pPr>
            <w:r>
              <w:rPr>
                <w:rFonts w:eastAsia="仿宋_GB2312"/>
              </w:rPr>
              <w:t>执行</w:t>
            </w:r>
            <w:r>
              <w:rPr>
                <w:rFonts w:hint="eastAsia" w:cs="宋体"/>
              </w:rPr>
              <w:t>数</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分</w:t>
            </w:r>
            <w:r>
              <w:rPr>
                <w:rFonts w:hint="eastAsia" w:cs="宋体"/>
              </w:rPr>
              <w:t>值</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执行</w:t>
            </w:r>
            <w:r>
              <w:rPr>
                <w:rFonts w:hint="eastAsia" w:cs="宋体"/>
              </w:rPr>
              <w:t>率</w:t>
            </w: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207"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年度资金总额 </w:t>
            </w:r>
          </w:p>
        </w:tc>
        <w:tc>
          <w:tcPr>
            <w:tcW w:w="2517"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158.00</w:t>
            </w:r>
          </w:p>
        </w:tc>
        <w:tc>
          <w:tcPr>
            <w:tcW w:w="1018"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158.00</w:t>
            </w:r>
          </w:p>
        </w:tc>
        <w:tc>
          <w:tcPr>
            <w:tcW w:w="915"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225.54</w:t>
            </w:r>
          </w:p>
        </w:tc>
        <w:tc>
          <w:tcPr>
            <w:tcW w:w="56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 10</w:t>
            </w:r>
          </w:p>
        </w:tc>
        <w:tc>
          <w:tcPr>
            <w:tcW w:w="760"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100%　</w:t>
            </w:r>
          </w:p>
        </w:tc>
        <w:tc>
          <w:tcPr>
            <w:tcW w:w="925"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207"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其中：当年财政拨款 </w:t>
            </w:r>
          </w:p>
        </w:tc>
        <w:tc>
          <w:tcPr>
            <w:tcW w:w="2517"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158.00</w:t>
            </w:r>
          </w:p>
        </w:tc>
        <w:tc>
          <w:tcPr>
            <w:tcW w:w="1018"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158.00</w:t>
            </w:r>
          </w:p>
        </w:tc>
        <w:tc>
          <w:tcPr>
            <w:tcW w:w="915"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154.03</w:t>
            </w:r>
          </w:p>
        </w:tc>
        <w:tc>
          <w:tcPr>
            <w:tcW w:w="56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760"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207"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 xml:space="preserve">上年结转资金 </w:t>
            </w:r>
          </w:p>
        </w:tc>
        <w:tc>
          <w:tcPr>
            <w:tcW w:w="251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s="宋体"/>
                <w:color w:val="000000"/>
              </w:rPr>
              <w:t>63.13</w:t>
            </w:r>
          </w:p>
        </w:tc>
        <w:tc>
          <w:tcPr>
            <w:tcW w:w="56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760"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207"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018"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915"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13.88</w:t>
            </w:r>
          </w:p>
        </w:tc>
        <w:tc>
          <w:tcPr>
            <w:tcW w:w="56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760"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5742"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3167"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5742"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建设美丽社区，美化环境</w:t>
            </w:r>
          </w:p>
        </w:tc>
        <w:tc>
          <w:tcPr>
            <w:tcW w:w="3167" w:type="dxa"/>
            <w:gridSpan w:val="4"/>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92"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10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103"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018"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915"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760"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925"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基础设施完善</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美化社区环境，完善基础设施，将社区建设成为宜居宜养的美丽社区。</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全年</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环境卫生整治、渣土整治、限超限载等专项整治经费</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restart"/>
            <w:tcBorders>
              <w:top w:val="nil"/>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建设美丽社区，美化环境</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5</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5</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保持辖区整洁，提升辖区形象，提高辖区群众幸福感</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美化社区环境，完善基础设施，将社区建设成为宜居宜养的美丽社区。</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持续</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5</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5</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tabs>
                <w:tab w:val="center" w:pos="735"/>
              </w:tabs>
              <w:jc w:val="left"/>
              <w:rPr>
                <w:color w:val="000000"/>
              </w:rPr>
            </w:pPr>
            <w:r>
              <w:rPr>
                <w:rFonts w:hint="eastAsia" w:eastAsia="仿宋_GB2312"/>
                <w:color w:val="000000"/>
              </w:rPr>
              <w:t>辖区居民、企业对街道工作的满意度</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93%</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9</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54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总</w:t>
            </w:r>
            <w:r>
              <w:rPr>
                <w:rFonts w:hint="eastAsia" w:cs="宋体"/>
                <w:color w:val="000000"/>
              </w:rPr>
              <w:t>分</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100</w:t>
            </w:r>
          </w:p>
        </w:tc>
        <w:tc>
          <w:tcPr>
            <w:tcW w:w="76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99</w:t>
            </w: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r>
    </w:tbl>
    <w:p>
      <w:pPr>
        <w:spacing w:before="120" w:beforeLines="50"/>
        <w:jc w:val="left"/>
        <w:rPr>
          <w:rFonts w:eastAsia="方正小标宋简体" w:cs="方正小标宋简体"/>
          <w:sz w:val="36"/>
          <w:szCs w:val="36"/>
        </w:rPr>
      </w:pPr>
      <w:r>
        <w:rPr>
          <w:rFonts w:eastAsia="仿宋_GB2312"/>
          <w:sz w:val="24"/>
        </w:rPr>
        <w:t>单位负责人签字：填表人：     联系电话：填报日期：</w:t>
      </w:r>
      <w:r>
        <w:rPr>
          <w:rFonts w:hint="eastAsia" w:eastAsia="仿宋_GB2312"/>
          <w:sz w:val="24"/>
        </w:rPr>
        <w:t>年   月  日</w:t>
      </w:r>
    </w:p>
    <w:p>
      <w:pPr>
        <w:spacing w:line="400" w:lineRule="exact"/>
        <w:ind w:firstLine="2160" w:firstLineChars="600"/>
        <w:rPr>
          <w:rFonts w:eastAsia="方正小标宋简体" w:cs="方正小标宋简体"/>
          <w:sz w:val="36"/>
          <w:szCs w:val="36"/>
        </w:rPr>
      </w:pPr>
    </w:p>
    <w:p>
      <w:pPr>
        <w:spacing w:line="400" w:lineRule="exact"/>
        <w:ind w:firstLine="2160" w:firstLineChars="600"/>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（2020年度）</w:t>
      </w:r>
    </w:p>
    <w:tbl>
      <w:tblPr>
        <w:tblStyle w:val="6"/>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652"/>
        <w:gridCol w:w="897"/>
        <w:gridCol w:w="925"/>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党建组织等工作经费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698"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　湘西经济开发区吉凤街道办事处</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实施单</w:t>
            </w:r>
            <w:r>
              <w:rPr>
                <w:rFonts w:hint="eastAsia" w:eastAsia="仿宋_GB2312"/>
                <w:color w:val="000000"/>
              </w:rPr>
              <w:t>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　湘西经济开发区吉凤街道办事处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652"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年</w:t>
            </w:r>
            <w:r>
              <w:rPr>
                <w:rFonts w:hint="eastAsia" w:cs="宋体"/>
                <w:color w:val="000000"/>
              </w:rPr>
              <w:t>初</w:t>
            </w:r>
          </w:p>
          <w:p>
            <w:pPr>
              <w:jc w:val="center"/>
              <w:rPr>
                <w:color w:val="000000"/>
              </w:rPr>
            </w:pPr>
            <w:r>
              <w:rPr>
                <w:rFonts w:eastAsia="仿宋_GB2312"/>
                <w:color w:val="000000"/>
              </w:rPr>
              <w:t>预算</w:t>
            </w:r>
            <w:r>
              <w:rPr>
                <w:rFonts w:hint="eastAsia" w:cs="宋体"/>
                <w:color w:val="000000"/>
              </w:rPr>
              <w:t>数</w:t>
            </w:r>
          </w:p>
        </w:tc>
        <w:tc>
          <w:tcPr>
            <w:tcW w:w="897"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全</w:t>
            </w:r>
            <w:r>
              <w:rPr>
                <w:rFonts w:hint="eastAsia" w:cs="宋体"/>
                <w:color w:val="000000"/>
              </w:rPr>
              <w:t>年</w:t>
            </w:r>
          </w:p>
          <w:p>
            <w:pPr>
              <w:jc w:val="center"/>
              <w:rPr>
                <w:color w:val="000000"/>
              </w:rPr>
            </w:pPr>
            <w:r>
              <w:rPr>
                <w:rFonts w:eastAsia="仿宋_GB2312"/>
                <w:color w:val="000000"/>
              </w:rPr>
              <w:t>预算</w:t>
            </w:r>
            <w:r>
              <w:rPr>
                <w:rFonts w:hint="eastAsia" w:cs="宋体"/>
                <w:color w:val="000000"/>
              </w:rPr>
              <w:t>数</w:t>
            </w:r>
          </w:p>
        </w:tc>
        <w:tc>
          <w:tcPr>
            <w:tcW w:w="925" w:type="dxa"/>
            <w:tcBorders>
              <w:top w:val="single" w:color="auto" w:sz="4" w:space="0"/>
              <w:left w:val="nil"/>
              <w:bottom w:val="single" w:color="auto" w:sz="4" w:space="0"/>
              <w:right w:val="single" w:color="auto" w:sz="4" w:space="0"/>
            </w:tcBorders>
            <w:vAlign w:val="center"/>
          </w:tcPr>
          <w:p>
            <w:pPr>
              <w:jc w:val="center"/>
            </w:pPr>
            <w:r>
              <w:rPr>
                <w:rFonts w:eastAsia="仿宋_GB2312"/>
              </w:rPr>
              <w:t>全</w:t>
            </w:r>
            <w:r>
              <w:rPr>
                <w:rFonts w:hint="eastAsia" w:cs="宋体"/>
              </w:rPr>
              <w:t>年</w:t>
            </w:r>
          </w:p>
          <w:p>
            <w:pPr>
              <w:jc w:val="cente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年度资金总额 </w:t>
            </w:r>
          </w:p>
        </w:tc>
        <w:tc>
          <w:tcPr>
            <w:tcW w:w="165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s="宋体"/>
                <w:color w:val="000000"/>
              </w:rPr>
              <w:t>100.00</w:t>
            </w:r>
          </w:p>
        </w:tc>
        <w:tc>
          <w:tcPr>
            <w:tcW w:w="89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s="宋体"/>
                <w:color w:val="000000"/>
              </w:rPr>
              <w:t>111.46</w:t>
            </w: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s="宋体"/>
                <w:color w:val="000000"/>
              </w:rPr>
              <w:t>111.46</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100</w:t>
            </w:r>
          </w:p>
        </w:tc>
        <w:tc>
          <w:tcPr>
            <w:tcW w:w="1411"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其中：当年财政拨款 </w:t>
            </w:r>
          </w:p>
        </w:tc>
        <w:tc>
          <w:tcPr>
            <w:tcW w:w="165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s="宋体"/>
                <w:color w:val="000000"/>
              </w:rPr>
              <w:t>100.00</w:t>
            </w:r>
          </w:p>
        </w:tc>
        <w:tc>
          <w:tcPr>
            <w:tcW w:w="89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cs="宋体"/>
                <w:color w:val="000000"/>
              </w:rPr>
              <w:t>111.46</w:t>
            </w:r>
          </w:p>
        </w:tc>
        <w:tc>
          <w:tcPr>
            <w:tcW w:w="925"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111.46</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65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9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652" w:type="dxa"/>
            <w:tcBorders>
              <w:top w:val="single" w:color="auto" w:sz="4" w:space="0"/>
              <w:left w:val="nil"/>
              <w:bottom w:val="single" w:color="auto" w:sz="4" w:space="0"/>
              <w:right w:val="single" w:color="auto" w:sz="4" w:space="0"/>
            </w:tcBorders>
            <w:vAlign w:val="center"/>
          </w:tcPr>
          <w:p>
            <w:pPr>
              <w:jc w:val="left"/>
              <w:rPr>
                <w:rFonts w:eastAsia="仿宋_GB2312"/>
                <w:color w:val="000000"/>
                <w:highlight w:val="yellow"/>
              </w:rPr>
            </w:pPr>
          </w:p>
        </w:tc>
        <w:tc>
          <w:tcPr>
            <w:tcW w:w="897" w:type="dxa"/>
            <w:tcBorders>
              <w:top w:val="single" w:color="auto" w:sz="4" w:space="0"/>
              <w:left w:val="nil"/>
              <w:bottom w:val="single" w:color="auto" w:sz="4" w:space="0"/>
              <w:right w:val="single" w:color="auto" w:sz="4" w:space="0"/>
            </w:tcBorders>
            <w:vAlign w:val="center"/>
          </w:tcPr>
          <w:p>
            <w:pPr>
              <w:jc w:val="left"/>
              <w:rPr>
                <w:rFonts w:eastAsia="仿宋_GB2312"/>
                <w:color w:val="000000"/>
                <w:highlight w:val="yellow"/>
              </w:rPr>
            </w:pP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highlight w:val="yellow"/>
              </w:rPr>
            </w:pP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698"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029"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4698"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1.确保三会一课、组织生活会等基本制度落实，党内活动得到正常开展</w:t>
            </w:r>
          </w:p>
          <w:p>
            <w:pPr>
              <w:jc w:val="left"/>
              <w:rPr>
                <w:rFonts w:eastAsia="仿宋_GB2312"/>
                <w:color w:val="000000"/>
              </w:rPr>
            </w:pPr>
            <w:r>
              <w:rPr>
                <w:rFonts w:hint="eastAsia" w:eastAsia="仿宋_GB2312"/>
                <w:color w:val="000000"/>
              </w:rPr>
              <w:t>2.完成国防动员、兵役登记、民兵整组、征兵等年度任务</w:t>
            </w:r>
          </w:p>
          <w:p>
            <w:pPr>
              <w:jc w:val="left"/>
              <w:rPr>
                <w:rFonts w:eastAsia="仿宋_GB2312"/>
                <w:color w:val="000000"/>
              </w:rPr>
            </w:pPr>
            <w:r>
              <w:rPr>
                <w:rFonts w:hint="eastAsia" w:eastAsia="仿宋_GB2312"/>
                <w:color w:val="000000"/>
              </w:rPr>
              <w:t>3.1.宣传及资料费,营造党风廉政建设浓厚氛围；2.办案经费：营造风清气正政治生态。3.廉政文化建设：弘扬廉政文化，营造廉洁氛围；4.警示教育活动：筑牢干部廉洁防线；5.学习培训：提升纪检干部业务能力水平，保证工作质量。</w:t>
            </w:r>
          </w:p>
          <w:p>
            <w:pPr>
              <w:jc w:val="left"/>
              <w:rPr>
                <w:rFonts w:eastAsia="仿宋_GB2312"/>
                <w:color w:val="000000"/>
              </w:rPr>
            </w:pPr>
            <w:r>
              <w:rPr>
                <w:rFonts w:hint="eastAsia" w:eastAsia="仿宋_GB2312"/>
                <w:color w:val="000000"/>
              </w:rPr>
              <w:t>6、“3.8”节，“6.1”节开展活动；民族文化进景区活动</w:t>
            </w:r>
          </w:p>
          <w:p>
            <w:pPr>
              <w:jc w:val="left"/>
              <w:rPr>
                <w:rFonts w:eastAsia="仿宋_GB2312"/>
                <w:color w:val="000000"/>
              </w:rPr>
            </w:pPr>
            <w:r>
              <w:rPr>
                <w:rFonts w:hint="eastAsia" w:eastAsia="仿宋_GB2312"/>
                <w:color w:val="000000"/>
              </w:rPr>
              <w:t>7、奖扶资金及时发放；确</w:t>
            </w:r>
          </w:p>
          <w:p>
            <w:pPr>
              <w:jc w:val="left"/>
              <w:rPr>
                <w:rFonts w:eastAsia="仿宋_GB2312"/>
                <w:color w:val="000000"/>
              </w:rPr>
            </w:pPr>
            <w:r>
              <w:rPr>
                <w:rFonts w:hint="eastAsia" w:eastAsia="仿宋_GB2312"/>
                <w:color w:val="000000"/>
              </w:rPr>
              <w:t>保各项工作有序推进</w:t>
            </w:r>
          </w:p>
          <w:p>
            <w:pPr>
              <w:jc w:val="left"/>
              <w:rPr>
                <w:rFonts w:eastAsia="仿宋_GB2312"/>
                <w:color w:val="000000"/>
              </w:rPr>
            </w:pPr>
            <w:r>
              <w:rPr>
                <w:rFonts w:hint="eastAsia" w:eastAsia="仿宋_GB2312"/>
                <w:color w:val="000000"/>
              </w:rPr>
              <w:t>8、做好辖区困难救助工作</w:t>
            </w:r>
          </w:p>
          <w:p>
            <w:pPr>
              <w:jc w:val="left"/>
              <w:rPr>
                <w:rFonts w:eastAsia="仿宋_GB2312"/>
                <w:color w:val="000000"/>
              </w:rPr>
            </w:pPr>
            <w:r>
              <w:rPr>
                <w:rFonts w:hint="eastAsia" w:eastAsia="仿宋_GB2312"/>
                <w:color w:val="000000"/>
              </w:rPr>
              <w:t>9、做好单位工青妇工作</w:t>
            </w:r>
          </w:p>
        </w:tc>
        <w:tc>
          <w:tcPr>
            <w:tcW w:w="4029" w:type="dxa"/>
            <w:gridSpan w:val="4"/>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w:t>
            </w:r>
            <w:r>
              <w:rPr>
                <w:rFonts w:hint="eastAsia" w:eastAsia="仿宋_GB2312"/>
                <w:color w:val="000000"/>
              </w:rPr>
              <w:t>组织各党支部书记召开党建工作会议，开展党政班子集中学习，开展村、社区党员干部春训、冬训等集中教育培训活动，推选优秀党务工作者，开展廉政课堂活动，对干部进行警示教育。通过宣传，唱响主旋律，弘扬正能量，使辖区群众及时掌握政策信息，形成良好氛围。社会公众对开展文明创建活动的满意度。受益群众满意，慰问补助对象满意，慰问补助对象满意。做好退役军人服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897"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925"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开展活动</w:t>
            </w:r>
          </w:p>
        </w:tc>
        <w:tc>
          <w:tcPr>
            <w:tcW w:w="89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开展活动&gt;10次</w:t>
            </w: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开展活动4次，组结人数200余人，集中学习12次</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质量指标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党建基础夯实</w:t>
            </w:r>
          </w:p>
        </w:tc>
        <w:tc>
          <w:tcPr>
            <w:tcW w:w="89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效果明显</w:t>
            </w: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效果明显</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2020年</w:t>
            </w:r>
          </w:p>
        </w:tc>
        <w:tc>
          <w:tcPr>
            <w:tcW w:w="89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　全年</w:t>
            </w: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　全年</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活动经费控制率</w:t>
            </w:r>
          </w:p>
        </w:tc>
        <w:tc>
          <w:tcPr>
            <w:tcW w:w="89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　</w:t>
            </w: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　100%</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促进经济发展</w:t>
            </w:r>
          </w:p>
        </w:tc>
        <w:tc>
          <w:tcPr>
            <w:tcW w:w="89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促进经济发展</w:t>
            </w:r>
            <w:r>
              <w:rPr>
                <w:rFonts w:hint="eastAsia" w:cs="宋体"/>
                <w:color w:val="000000"/>
              </w:rPr>
              <w:t>　</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党风廉政、文明创建</w:t>
            </w:r>
          </w:p>
        </w:tc>
        <w:tc>
          <w:tcPr>
            <w:tcW w:w="89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党风廉政、文明创建</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美化环境，和谐稳定</w:t>
            </w:r>
          </w:p>
        </w:tc>
        <w:tc>
          <w:tcPr>
            <w:tcW w:w="89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美化环境，和谐稳定</w:t>
            </w:r>
            <w:r>
              <w:rPr>
                <w:rFonts w:hint="eastAsia" w:cs="宋体"/>
                <w:color w:val="000000"/>
              </w:rPr>
              <w:t>　</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5</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持续性</w:t>
            </w:r>
          </w:p>
        </w:tc>
        <w:tc>
          <w:tcPr>
            <w:tcW w:w="89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增加持续性</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5</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辖区居民、企业对街道工作的满意度</w:t>
            </w:r>
          </w:p>
        </w:tc>
        <w:tc>
          <w:tcPr>
            <w:tcW w:w="897"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100%</w:t>
            </w:r>
          </w:p>
        </w:tc>
        <w:tc>
          <w:tcPr>
            <w:tcW w:w="925"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95%</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9</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总</w:t>
            </w:r>
            <w:r>
              <w:rPr>
                <w:rFonts w:hint="eastAsia" w:cs="宋体"/>
                <w:color w:val="000000"/>
              </w:rPr>
              <w:t>分</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99</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bl>
    <w:p>
      <w:pPr>
        <w:spacing w:before="120" w:beforeLines="5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jc w:val="left"/>
        <w:rPr>
          <w:rFonts w:eastAsia="黑体"/>
          <w:sz w:val="32"/>
          <w:szCs w:val="32"/>
        </w:rPr>
      </w:pPr>
      <w:r>
        <w:rPr>
          <w:rFonts w:eastAsia="仿宋_GB2312"/>
          <w:sz w:val="24"/>
        </w:rPr>
        <w:t xml:space="preserve">单位负责人签字：填表人：     联系电话：填报日期： </w:t>
      </w:r>
      <w:r>
        <w:rPr>
          <w:rFonts w:hint="eastAsia" w:eastAsia="仿宋_GB2312"/>
          <w:sz w:val="24"/>
        </w:rPr>
        <w:t>年   月  日</w:t>
      </w: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rPr>
          <w:rFonts w:ascii="方正小标宋简体" w:hAnsi="方正小标宋简体" w:eastAsia="方正小标宋简体" w:cs="方正小标宋简体"/>
          <w:sz w:val="48"/>
          <w:szCs w:val="48"/>
        </w:rPr>
      </w:pPr>
    </w:p>
    <w:p>
      <w:pPr>
        <w:rPr>
          <w:rFonts w:ascii="方正小标宋简体" w:hAnsi="方正小标宋简体" w:eastAsia="方正小标宋简体" w:cs="方正小标宋简体"/>
          <w:sz w:val="48"/>
          <w:szCs w:val="48"/>
        </w:rPr>
      </w:pPr>
    </w:p>
    <w:p>
      <w:pPr>
        <w:rPr>
          <w:rFonts w:ascii="方正小标宋简体" w:hAnsi="方正小标宋简体" w:eastAsia="方正小标宋简体" w:cs="方正小标宋简体"/>
          <w:sz w:val="48"/>
          <w:szCs w:val="48"/>
        </w:rPr>
      </w:pPr>
    </w:p>
    <w:p>
      <w:pPr>
        <w:jc w:val="center"/>
        <w:rPr>
          <w:rFonts w:ascii="方正小标宋简体" w:hAnsi="方正小标宋简体" w:eastAsia="方正小标宋简体" w:cs="方正小标宋简体"/>
          <w:sz w:val="48"/>
          <w:szCs w:val="48"/>
        </w:rPr>
      </w:pP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湘西经济开发区吉凤街道办事处</w:t>
      </w: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2020年度部门整体支出绩效自评报告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spacing w:line="600" w:lineRule="exact"/>
        <w:ind w:firstLine="880" w:firstLineChars="200"/>
        <w:jc w:val="center"/>
        <w:rPr>
          <w:rFonts w:eastAsia="黑体"/>
          <w:sz w:val="44"/>
          <w:szCs w:val="44"/>
        </w:rPr>
      </w:pPr>
    </w:p>
    <w:p>
      <w:pPr>
        <w:spacing w:line="600" w:lineRule="exact"/>
        <w:ind w:firstLine="2160" w:firstLineChars="600"/>
        <w:rPr>
          <w:rFonts w:eastAsia="黑体"/>
          <w:sz w:val="36"/>
          <w:szCs w:val="36"/>
        </w:rPr>
      </w:pPr>
      <w:r>
        <w:rPr>
          <w:rFonts w:hint="eastAsia" w:eastAsia="黑体"/>
          <w:sz w:val="36"/>
          <w:szCs w:val="36"/>
        </w:rPr>
        <w:t>部门（</w:t>
      </w:r>
      <w:r>
        <w:rPr>
          <w:rFonts w:eastAsia="黑体"/>
          <w:sz w:val="36"/>
          <w:szCs w:val="36"/>
        </w:rPr>
        <w:t>单位</w:t>
      </w:r>
      <w:r>
        <w:rPr>
          <w:rFonts w:hint="eastAsia" w:eastAsia="黑体"/>
          <w:sz w:val="36"/>
          <w:szCs w:val="36"/>
        </w:rPr>
        <w:t>）</w:t>
      </w:r>
      <w:r>
        <w:rPr>
          <w:rFonts w:eastAsia="黑体"/>
          <w:sz w:val="36"/>
          <w:szCs w:val="36"/>
        </w:rPr>
        <w:t>名称（盖章）：</w:t>
      </w:r>
    </w:p>
    <w:p>
      <w:pPr>
        <w:spacing w:line="600" w:lineRule="exact"/>
        <w:ind w:firstLine="2160" w:firstLineChars="600"/>
        <w:rPr>
          <w:rFonts w:eastAsia="黑体"/>
          <w:sz w:val="36"/>
          <w:szCs w:val="36"/>
        </w:rPr>
      </w:pPr>
      <w:r>
        <w:rPr>
          <w:rFonts w:hint="eastAsia" w:eastAsia="黑体"/>
          <w:sz w:val="36"/>
          <w:szCs w:val="36"/>
        </w:rPr>
        <w:t>预算编码：</w:t>
      </w:r>
    </w:p>
    <w:p>
      <w:pPr>
        <w:spacing w:line="600" w:lineRule="exact"/>
        <w:jc w:val="center"/>
        <w:rPr>
          <w:rFonts w:eastAsia="黑体"/>
          <w:sz w:val="36"/>
          <w:szCs w:val="36"/>
        </w:rPr>
      </w:pPr>
    </w:p>
    <w:p>
      <w:pPr>
        <w:spacing w:line="600" w:lineRule="exact"/>
        <w:ind w:firstLine="2099" w:firstLineChars="656"/>
        <w:jc w:val="left"/>
        <w:rPr>
          <w:rFonts w:eastAsia="仿宋_GB2312"/>
          <w:sz w:val="32"/>
          <w:szCs w:val="32"/>
        </w:rPr>
      </w:pPr>
      <w:r>
        <w:rPr>
          <w:rFonts w:hint="eastAsia" w:eastAsia="仿宋_GB2312"/>
          <w:sz w:val="32"/>
          <w:szCs w:val="32"/>
        </w:rPr>
        <w:t>评价方式：部门（单位）绩效自评</w:t>
      </w:r>
    </w:p>
    <w:p>
      <w:pPr>
        <w:spacing w:line="600" w:lineRule="exact"/>
        <w:ind w:firstLine="2099" w:firstLineChars="656"/>
        <w:jc w:val="left"/>
        <w:rPr>
          <w:rFonts w:eastAsia="仿宋_GB2312" w:cs="Arial"/>
          <w:sz w:val="28"/>
          <w:szCs w:val="28"/>
        </w:rPr>
      </w:pPr>
      <w:r>
        <w:rPr>
          <w:rFonts w:hint="eastAsia" w:eastAsia="仿宋_GB2312"/>
          <w:sz w:val="32"/>
          <w:szCs w:val="32"/>
        </w:rPr>
        <w:t>评价机构：部门（单位）评价组</w:t>
      </w:r>
    </w:p>
    <w:p>
      <w:pPr>
        <w:ind w:firstLine="420" w:firstLineChars="150"/>
        <w:jc w:val="left"/>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hint="eastAsia" w:ascii="仿宋_GB2312" w:hAnsi="仿宋_GB2312" w:eastAsia="仿宋_GB2312" w:cs="仿宋_GB2312"/>
          <w:sz w:val="28"/>
          <w:szCs w:val="28"/>
          <w:u w:val="single"/>
        </w:rPr>
        <w:t>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6</w:t>
      </w:r>
      <w:r>
        <w:rPr>
          <w:rFonts w:hint="eastAsia" w:ascii="仿宋_GB2312" w:hAnsi="仿宋_GB2312" w:eastAsia="仿宋_GB2312" w:cs="仿宋_GB2312"/>
          <w:sz w:val="28"/>
          <w:szCs w:val="28"/>
        </w:rPr>
        <w:t>月</w:t>
      </w:r>
    </w:p>
    <w:p>
      <w:pPr>
        <w:spacing w:line="540" w:lineRule="exact"/>
        <w:jc w:val="left"/>
        <w:rPr>
          <w:rFonts w:eastAsia="黑体" w:cs="Arial"/>
          <w:sz w:val="32"/>
          <w:szCs w:val="32"/>
          <w:shd w:val="clear" w:color="auto" w:fill="FFFFFF"/>
        </w:rPr>
      </w:pPr>
    </w:p>
    <w:p>
      <w:pPr>
        <w:spacing w:line="540" w:lineRule="exact"/>
        <w:jc w:val="left"/>
        <w:rPr>
          <w:rFonts w:eastAsia="黑体" w:cs="Arial"/>
          <w:sz w:val="32"/>
          <w:szCs w:val="32"/>
          <w:shd w:val="clear" w:color="auto" w:fill="FFFFFF"/>
        </w:r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133"/>
        <w:gridCol w:w="519"/>
        <w:gridCol w:w="46"/>
        <w:gridCol w:w="1080"/>
        <w:gridCol w:w="510"/>
        <w:gridCol w:w="776"/>
        <w:gridCol w:w="69"/>
        <w:gridCol w:w="827"/>
        <w:gridCol w:w="1734"/>
        <w:gridCol w:w="226"/>
        <w:gridCol w:w="75"/>
        <w:gridCol w:w="120"/>
        <w:gridCol w:w="1134"/>
        <w:gridCol w:w="471"/>
        <w:gridCol w:w="139"/>
        <w:gridCol w:w="240"/>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联系人</w:t>
            </w:r>
          </w:p>
        </w:tc>
        <w:tc>
          <w:tcPr>
            <w:tcW w:w="3308" w:type="dxa"/>
            <w:gridSpan w:val="6"/>
            <w:vAlign w:val="center"/>
          </w:tcPr>
          <w:p>
            <w:pPr>
              <w:autoSpaceDN w:val="0"/>
              <w:spacing w:line="320" w:lineRule="exact"/>
              <w:jc w:val="center"/>
              <w:textAlignment w:val="center"/>
              <w:rPr>
                <w:rFonts w:eastAsia="仿宋_GB2312" w:cs="仿宋_GB2312"/>
                <w:sz w:val="24"/>
              </w:rPr>
            </w:pPr>
          </w:p>
        </w:tc>
        <w:tc>
          <w:tcPr>
            <w:tcW w:w="1734"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联系电话</w:t>
            </w:r>
          </w:p>
        </w:tc>
        <w:tc>
          <w:tcPr>
            <w:tcW w:w="3106"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0743-8532817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人员编制</w:t>
            </w:r>
          </w:p>
        </w:tc>
        <w:tc>
          <w:tcPr>
            <w:tcW w:w="3308"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49</w:t>
            </w:r>
          </w:p>
        </w:tc>
        <w:tc>
          <w:tcPr>
            <w:tcW w:w="1734"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实有人数</w:t>
            </w:r>
          </w:p>
        </w:tc>
        <w:tc>
          <w:tcPr>
            <w:tcW w:w="3106"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5"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职能职责概述</w:t>
            </w:r>
          </w:p>
        </w:tc>
        <w:tc>
          <w:tcPr>
            <w:tcW w:w="8148" w:type="dxa"/>
            <w:gridSpan w:val="15"/>
            <w:vAlign w:val="center"/>
          </w:tcPr>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单位的主要职责是：在本级党工委的领导下，负责执行上级国家行政机关的决定和命令；负责研究制定和组织实施本街道经济建设和社会发展计划；负责领导组织实施管理本街道区域内的经济，负责城市管理、科教、文化、卫生、就业保障、民政、体育、安全、综治、社区建设等行政工作；负责领导、指导区域内的村和社区居委会的经济建设和精神文明建设工作，确保本街道经济发展和社会的全面进步；保护社会主义全民所有制的财产和劳动群众集体所有制的财产，保护公民的合法财产，保障公民的人身权利、民主权利和其它权利；保护其它合法经济组织的合法权益；保障少数民族的权利和尊重少数民族的风俗习惯，保障宪法和法律赋予的男女平等、同工同酬和婚姻自由等各项权利；做好信访、民事调解工作，维护社会稳定；加强办事处的自身建设，认真调查研究，提高决策能力和执政水平；承办上级党委、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59"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eastAsia="仿宋_GB2312" w:cs="仿宋_GB2312"/>
                <w:sz w:val="24"/>
              </w:rPr>
            </w:pPr>
            <w:r>
              <w:rPr>
                <w:rFonts w:hint="eastAsia" w:eastAsia="仿宋_GB2312" w:cs="仿宋_GB2312"/>
                <w:sz w:val="24"/>
              </w:rPr>
              <w:t>工作内容</w:t>
            </w:r>
          </w:p>
        </w:tc>
        <w:tc>
          <w:tcPr>
            <w:tcW w:w="8148" w:type="dxa"/>
            <w:gridSpan w:val="15"/>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任务1：一线疫情防控</w:t>
            </w:r>
          </w:p>
          <w:p>
            <w:pPr>
              <w:autoSpaceDN w:val="0"/>
              <w:spacing w:line="320" w:lineRule="exact"/>
              <w:jc w:val="left"/>
              <w:textAlignment w:val="center"/>
              <w:rPr>
                <w:rFonts w:eastAsia="仿宋_GB2312" w:cs="仿宋_GB2312"/>
                <w:sz w:val="24"/>
              </w:rPr>
            </w:pPr>
            <w:r>
              <w:rPr>
                <w:rFonts w:hint="eastAsia" w:eastAsia="仿宋_GB2312" w:cs="仿宋_GB2312"/>
                <w:sz w:val="24"/>
              </w:rPr>
              <w:t>任务2：坚巩固征地拆迁成效</w:t>
            </w:r>
          </w:p>
          <w:p>
            <w:pPr>
              <w:autoSpaceDN w:val="0"/>
              <w:spacing w:line="320" w:lineRule="exact"/>
              <w:jc w:val="left"/>
              <w:textAlignment w:val="center"/>
              <w:rPr>
                <w:rFonts w:eastAsia="仿宋_GB2312" w:cs="仿宋_GB2312"/>
                <w:sz w:val="24"/>
              </w:rPr>
            </w:pPr>
            <w:r>
              <w:rPr>
                <w:rFonts w:hint="eastAsia" w:eastAsia="仿宋_GB2312" w:cs="仿宋_GB2312"/>
                <w:sz w:val="24"/>
              </w:rPr>
              <w:t>任务3：党建工作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任务4：民生持续提升幸福指数</w:t>
            </w:r>
          </w:p>
          <w:p>
            <w:pPr>
              <w:autoSpaceDN w:val="0"/>
              <w:spacing w:line="320" w:lineRule="exact"/>
              <w:jc w:val="left"/>
              <w:textAlignment w:val="center"/>
              <w:rPr>
                <w:rFonts w:eastAsia="仿宋_GB2312" w:cs="仿宋_GB2312"/>
                <w:sz w:val="24"/>
              </w:rPr>
            </w:pPr>
            <w:r>
              <w:rPr>
                <w:rFonts w:hint="eastAsia" w:eastAsia="仿宋_GB2312" w:cs="仿宋_GB2312"/>
                <w:sz w:val="24"/>
              </w:rPr>
              <w:t>任务5：党建强基凝聚干事创业氛围</w:t>
            </w:r>
          </w:p>
          <w:p>
            <w:pPr>
              <w:autoSpaceDN w:val="0"/>
              <w:spacing w:line="320" w:lineRule="exact"/>
              <w:jc w:val="left"/>
              <w:textAlignment w:val="center"/>
              <w:rPr>
                <w:rFonts w:eastAsia="仿宋_GB2312" w:cs="仿宋_GB2312"/>
                <w:sz w:val="24"/>
              </w:rPr>
            </w:pPr>
            <w:r>
              <w:rPr>
                <w:rFonts w:hint="eastAsia" w:eastAsia="仿宋_GB2312" w:cs="仿宋_GB2312"/>
                <w:sz w:val="24"/>
              </w:rPr>
              <w:t>任务6：做好辖区计划生育工作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任务7：中心工作助推服务发展大局</w:t>
            </w:r>
          </w:p>
          <w:p>
            <w:pPr>
              <w:autoSpaceDN w:val="0"/>
              <w:spacing w:line="320" w:lineRule="exact"/>
              <w:jc w:val="left"/>
              <w:textAlignment w:val="center"/>
              <w:rPr>
                <w:rFonts w:eastAsia="仿宋_GB2312" w:cs="仿宋_GB2312"/>
                <w:sz w:val="24"/>
              </w:rPr>
            </w:pPr>
            <w:r>
              <w:rPr>
                <w:rFonts w:hint="eastAsia" w:eastAsia="仿宋_GB2312" w:cs="仿宋_GB2312"/>
                <w:sz w:val="24"/>
              </w:rPr>
              <w:t>任务8：配合有关部门做好城建、城管工作，管理好居民小区、街道的环境卫生、美化、绿化工作。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任务9：做好辖区民政救助工作及农业农村工作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任务10：做好本单位的工青妇工作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任务11：社区日常工作，贯彻执行上级决策部署</w:t>
            </w:r>
          </w:p>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55"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年度部门（单位）总体运行情况及取得的成绩</w:t>
            </w:r>
          </w:p>
        </w:tc>
        <w:tc>
          <w:tcPr>
            <w:tcW w:w="8148" w:type="dxa"/>
            <w:gridSpan w:val="15"/>
            <w:vAlign w:val="center"/>
          </w:tcPr>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2020年，本单位在湘西经开区党工委、管委会的正确领导下，突出工作重点，统筹兼顾，扎实推进各项工作，年初各项工作目标任务基本得以实现。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698" w:type="dxa"/>
            <w:gridSpan w:val="3"/>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收入合计</w:t>
            </w:r>
          </w:p>
        </w:tc>
        <w:tc>
          <w:tcPr>
            <w:tcW w:w="7022" w:type="dxa"/>
            <w:gridSpan w:val="1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698" w:type="dxa"/>
            <w:gridSpan w:val="3"/>
            <w:vMerge w:val="continue"/>
            <w:vAlign w:val="center"/>
          </w:tcPr>
          <w:p>
            <w:pPr>
              <w:autoSpaceDN w:val="0"/>
              <w:spacing w:line="320" w:lineRule="exact"/>
              <w:jc w:val="center"/>
              <w:textAlignment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上年结转</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eastAsia="仿宋_GB2312" w:cs="仿宋_GB2312"/>
                <w:sz w:val="24"/>
              </w:rPr>
            </w:pPr>
            <w:r>
              <w:rPr>
                <w:rFonts w:hint="eastAsia" w:eastAsia="仿宋_GB2312" w:cs="仿宋_GB2312"/>
                <w:sz w:val="24"/>
              </w:rPr>
              <w:t>政拨款</w:t>
            </w:r>
          </w:p>
        </w:tc>
        <w:tc>
          <w:tcPr>
            <w:tcW w:w="1960"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政府基金拨款</w:t>
            </w:r>
          </w:p>
        </w:tc>
        <w:tc>
          <w:tcPr>
            <w:tcW w:w="180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纳入专户管理的非税收入拨款</w:t>
            </w:r>
          </w:p>
        </w:tc>
        <w:tc>
          <w:tcPr>
            <w:tcW w:w="1080"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98"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2597.48</w:t>
            </w: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530.03</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1976.27</w:t>
            </w:r>
          </w:p>
        </w:tc>
        <w:tc>
          <w:tcPr>
            <w:tcW w:w="1960"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c>
          <w:tcPr>
            <w:tcW w:w="180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c>
          <w:tcPr>
            <w:tcW w:w="1080"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91.19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2597.48</w:t>
            </w: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530.03</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1976.27</w:t>
            </w:r>
          </w:p>
        </w:tc>
        <w:tc>
          <w:tcPr>
            <w:tcW w:w="1960"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c>
          <w:tcPr>
            <w:tcW w:w="180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c>
          <w:tcPr>
            <w:tcW w:w="1080"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91.19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827" w:type="dxa"/>
            <w:vAlign w:val="center"/>
          </w:tcPr>
          <w:p>
            <w:pPr>
              <w:autoSpaceDN w:val="0"/>
              <w:spacing w:line="320" w:lineRule="exact"/>
              <w:jc w:val="left"/>
              <w:textAlignment w:val="center"/>
              <w:rPr>
                <w:rFonts w:eastAsia="仿宋_GB2312" w:cs="仿宋_GB2312"/>
                <w:sz w:val="24"/>
              </w:rPr>
            </w:pPr>
          </w:p>
        </w:tc>
        <w:tc>
          <w:tcPr>
            <w:tcW w:w="1960"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827" w:type="dxa"/>
            <w:vAlign w:val="center"/>
          </w:tcPr>
          <w:p>
            <w:pPr>
              <w:autoSpaceDN w:val="0"/>
              <w:spacing w:line="320" w:lineRule="exact"/>
              <w:jc w:val="left"/>
              <w:textAlignment w:val="center"/>
              <w:rPr>
                <w:rFonts w:eastAsia="仿宋_GB2312" w:cs="仿宋_GB2312"/>
                <w:sz w:val="24"/>
              </w:rPr>
            </w:pPr>
          </w:p>
        </w:tc>
        <w:tc>
          <w:tcPr>
            <w:tcW w:w="1960"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698" w:type="dxa"/>
            <w:gridSpan w:val="3"/>
            <w:vMerge w:val="restart"/>
            <w:vAlign w:val="center"/>
          </w:tcPr>
          <w:p>
            <w:pPr>
              <w:snapToGrid w:val="0"/>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支出合计</w:t>
            </w:r>
          </w:p>
        </w:tc>
        <w:tc>
          <w:tcPr>
            <w:tcW w:w="5471"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1551" w:type="dxa"/>
            <w:gridSpan w:val="4"/>
            <w:tcBorders>
              <w:left w:val="single" w:color="auto" w:sz="4" w:space="0"/>
              <w:bottom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基本支出</w:t>
            </w:r>
          </w:p>
        </w:tc>
        <w:tc>
          <w:tcPr>
            <w:tcW w:w="2982" w:type="dxa"/>
            <w:gridSpan w:val="5"/>
            <w:tcBorders>
              <w:top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1134" w:type="dxa"/>
            <w:vMerge w:val="restart"/>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项目支出</w:t>
            </w:r>
          </w:p>
        </w:tc>
        <w:tc>
          <w:tcPr>
            <w:tcW w:w="85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当年结余</w:t>
            </w:r>
          </w:p>
        </w:tc>
        <w:tc>
          <w:tcPr>
            <w:tcW w:w="701" w:type="dxa"/>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人员支出</w:t>
            </w:r>
          </w:p>
        </w:tc>
        <w:tc>
          <w:tcPr>
            <w:tcW w:w="2155"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公用支出</w:t>
            </w:r>
          </w:p>
        </w:tc>
        <w:tc>
          <w:tcPr>
            <w:tcW w:w="1134"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85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p>
        </w:tc>
        <w:tc>
          <w:tcPr>
            <w:tcW w:w="701" w:type="dxa"/>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2018.68</w:t>
            </w: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1490.10</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1307.60</w:t>
            </w:r>
          </w:p>
        </w:tc>
        <w:tc>
          <w:tcPr>
            <w:tcW w:w="2155"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182.50</w:t>
            </w:r>
          </w:p>
        </w:tc>
        <w:tc>
          <w:tcPr>
            <w:tcW w:w="1134"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496.89</w:t>
            </w:r>
          </w:p>
        </w:tc>
        <w:tc>
          <w:tcPr>
            <w:tcW w:w="85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461.06</w:t>
            </w:r>
          </w:p>
        </w:tc>
        <w:tc>
          <w:tcPr>
            <w:tcW w:w="701" w:type="dxa"/>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461.06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2018.68</w:t>
            </w: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1490.10</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1307.60</w:t>
            </w:r>
          </w:p>
        </w:tc>
        <w:tc>
          <w:tcPr>
            <w:tcW w:w="2155"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182.50</w:t>
            </w:r>
          </w:p>
        </w:tc>
        <w:tc>
          <w:tcPr>
            <w:tcW w:w="1134"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496.89</w:t>
            </w:r>
          </w:p>
        </w:tc>
        <w:tc>
          <w:tcPr>
            <w:tcW w:w="85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461.06</w:t>
            </w:r>
          </w:p>
        </w:tc>
        <w:tc>
          <w:tcPr>
            <w:tcW w:w="701" w:type="dxa"/>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461.06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827" w:type="dxa"/>
            <w:vAlign w:val="center"/>
          </w:tcPr>
          <w:p>
            <w:pPr>
              <w:autoSpaceDN w:val="0"/>
              <w:spacing w:line="320" w:lineRule="exact"/>
              <w:jc w:val="center"/>
              <w:textAlignment w:val="center"/>
              <w:rPr>
                <w:rFonts w:eastAsia="仿宋_GB2312" w:cs="仿宋_GB2312"/>
                <w:sz w:val="24"/>
              </w:rPr>
            </w:pPr>
          </w:p>
        </w:tc>
        <w:tc>
          <w:tcPr>
            <w:tcW w:w="2155" w:type="dxa"/>
            <w:gridSpan w:val="4"/>
            <w:vAlign w:val="center"/>
          </w:tcPr>
          <w:p>
            <w:pPr>
              <w:autoSpaceDN w:val="0"/>
              <w:spacing w:line="320" w:lineRule="exact"/>
              <w:jc w:val="center"/>
              <w:textAlignment w:val="center"/>
              <w:rPr>
                <w:rFonts w:eastAsia="仿宋_GB2312" w:cs="仿宋_GB2312"/>
                <w:sz w:val="24"/>
              </w:rPr>
            </w:pPr>
          </w:p>
        </w:tc>
        <w:tc>
          <w:tcPr>
            <w:tcW w:w="1134" w:type="dxa"/>
            <w:vAlign w:val="center"/>
          </w:tcPr>
          <w:p>
            <w:pPr>
              <w:autoSpaceDN w:val="0"/>
              <w:spacing w:line="320" w:lineRule="exact"/>
              <w:jc w:val="center"/>
              <w:textAlignment w:val="center"/>
              <w:rPr>
                <w:rFonts w:eastAsia="仿宋_GB2312" w:cs="仿宋_GB2312"/>
                <w:sz w:val="24"/>
              </w:rPr>
            </w:pPr>
          </w:p>
        </w:tc>
        <w:tc>
          <w:tcPr>
            <w:tcW w:w="85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701"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827" w:type="dxa"/>
            <w:vAlign w:val="center"/>
          </w:tcPr>
          <w:p>
            <w:pPr>
              <w:autoSpaceDN w:val="0"/>
              <w:spacing w:line="320" w:lineRule="exact"/>
              <w:jc w:val="center"/>
              <w:textAlignment w:val="center"/>
              <w:rPr>
                <w:rFonts w:eastAsia="仿宋_GB2312" w:cs="仿宋_GB2312"/>
                <w:sz w:val="24"/>
              </w:rPr>
            </w:pPr>
          </w:p>
        </w:tc>
        <w:tc>
          <w:tcPr>
            <w:tcW w:w="2155" w:type="dxa"/>
            <w:gridSpan w:val="4"/>
            <w:vAlign w:val="center"/>
          </w:tcPr>
          <w:p>
            <w:pPr>
              <w:autoSpaceDN w:val="0"/>
              <w:spacing w:line="320" w:lineRule="exact"/>
              <w:jc w:val="center"/>
              <w:textAlignment w:val="center"/>
              <w:rPr>
                <w:rFonts w:eastAsia="仿宋_GB2312" w:cs="仿宋_GB2312"/>
                <w:sz w:val="24"/>
              </w:rPr>
            </w:pPr>
          </w:p>
        </w:tc>
        <w:tc>
          <w:tcPr>
            <w:tcW w:w="1134" w:type="dxa"/>
            <w:vAlign w:val="center"/>
          </w:tcPr>
          <w:p>
            <w:pPr>
              <w:autoSpaceDN w:val="0"/>
              <w:spacing w:line="320" w:lineRule="exact"/>
              <w:jc w:val="center"/>
              <w:textAlignment w:val="center"/>
              <w:rPr>
                <w:rFonts w:eastAsia="仿宋_GB2312" w:cs="仿宋_GB2312"/>
                <w:sz w:val="24"/>
              </w:rPr>
            </w:pPr>
          </w:p>
        </w:tc>
        <w:tc>
          <w:tcPr>
            <w:tcW w:w="85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701"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698" w:type="dxa"/>
            <w:gridSpan w:val="3"/>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022" w:type="dxa"/>
            <w:gridSpan w:val="1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公务接待费</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公务用车运行维护费</w:t>
            </w:r>
          </w:p>
        </w:tc>
        <w:tc>
          <w:tcPr>
            <w:tcW w:w="2155"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公务用车购置费</w:t>
            </w:r>
          </w:p>
        </w:tc>
        <w:tc>
          <w:tcPr>
            <w:tcW w:w="2685"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1.90</w:t>
            </w: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1.90</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2155"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2685"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1.90</w:t>
            </w: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1.90</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2155"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2685"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827" w:type="dxa"/>
            <w:vAlign w:val="center"/>
          </w:tcPr>
          <w:p>
            <w:pPr>
              <w:autoSpaceDN w:val="0"/>
              <w:spacing w:line="320" w:lineRule="exact"/>
              <w:jc w:val="center"/>
              <w:textAlignment w:val="center"/>
              <w:rPr>
                <w:rFonts w:eastAsia="仿宋_GB2312" w:cs="仿宋_GB2312"/>
                <w:sz w:val="24"/>
              </w:rPr>
            </w:pPr>
          </w:p>
        </w:tc>
        <w:tc>
          <w:tcPr>
            <w:tcW w:w="2155" w:type="dxa"/>
            <w:gridSpan w:val="4"/>
            <w:vAlign w:val="center"/>
          </w:tcPr>
          <w:p>
            <w:pPr>
              <w:autoSpaceDN w:val="0"/>
              <w:spacing w:line="320" w:lineRule="exact"/>
              <w:jc w:val="center"/>
              <w:textAlignment w:val="center"/>
              <w:rPr>
                <w:rFonts w:eastAsia="仿宋_GB2312" w:cs="仿宋_GB2312"/>
                <w:sz w:val="24"/>
              </w:rPr>
            </w:pPr>
          </w:p>
        </w:tc>
        <w:tc>
          <w:tcPr>
            <w:tcW w:w="2685" w:type="dxa"/>
            <w:gridSpan w:val="5"/>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827" w:type="dxa"/>
            <w:vAlign w:val="center"/>
          </w:tcPr>
          <w:p>
            <w:pPr>
              <w:autoSpaceDN w:val="0"/>
              <w:spacing w:line="320" w:lineRule="exact"/>
              <w:jc w:val="center"/>
              <w:textAlignment w:val="center"/>
              <w:rPr>
                <w:rFonts w:eastAsia="仿宋_GB2312" w:cs="仿宋_GB2312"/>
                <w:sz w:val="24"/>
              </w:rPr>
            </w:pPr>
          </w:p>
        </w:tc>
        <w:tc>
          <w:tcPr>
            <w:tcW w:w="2155" w:type="dxa"/>
            <w:gridSpan w:val="4"/>
            <w:vAlign w:val="center"/>
          </w:tcPr>
          <w:p>
            <w:pPr>
              <w:autoSpaceDN w:val="0"/>
              <w:spacing w:line="320" w:lineRule="exact"/>
              <w:jc w:val="center"/>
              <w:textAlignment w:val="center"/>
              <w:rPr>
                <w:rFonts w:eastAsia="仿宋_GB2312" w:cs="仿宋_GB2312"/>
                <w:sz w:val="24"/>
              </w:rPr>
            </w:pPr>
          </w:p>
        </w:tc>
        <w:tc>
          <w:tcPr>
            <w:tcW w:w="2685" w:type="dxa"/>
            <w:gridSpan w:val="5"/>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4" w:hRule="atLeast"/>
          <w:jc w:val="center"/>
        </w:trPr>
        <w:tc>
          <w:tcPr>
            <w:tcW w:w="1698" w:type="dxa"/>
            <w:gridSpan w:val="3"/>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022" w:type="dxa"/>
            <w:gridSpan w:val="13"/>
            <w:tcBorders>
              <w:left w:val="single" w:color="auto" w:sz="4" w:space="0"/>
            </w:tcBorders>
            <w:vAlign w:val="center"/>
          </w:tcPr>
          <w:p>
            <w:pPr>
              <w:autoSpaceDN w:val="0"/>
              <w:spacing w:line="320" w:lineRule="exact"/>
              <w:ind w:firstLine="2160" w:firstLineChars="900"/>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182"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在用固定资产</w:t>
            </w:r>
          </w:p>
        </w:tc>
        <w:tc>
          <w:tcPr>
            <w:tcW w:w="3899" w:type="dxa"/>
            <w:gridSpan w:val="7"/>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出租固定资产</w:t>
            </w:r>
          </w:p>
        </w:tc>
        <w:tc>
          <w:tcPr>
            <w:tcW w:w="941" w:type="dxa"/>
            <w:gridSpan w:val="2"/>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ascii="宋体" w:hAnsi="宋体"/>
                <w:sz w:val="22"/>
                <w:szCs w:val="22"/>
              </w:rPr>
              <w:t>3221.67</w:t>
            </w:r>
          </w:p>
        </w:tc>
        <w:tc>
          <w:tcPr>
            <w:tcW w:w="2182"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ascii="宋体" w:hAnsi="宋体"/>
                <w:sz w:val="22"/>
                <w:szCs w:val="22"/>
              </w:rPr>
              <w:t>3221.67</w:t>
            </w:r>
          </w:p>
        </w:tc>
        <w:tc>
          <w:tcPr>
            <w:tcW w:w="3899"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ascii="宋体" w:hAnsi="宋体"/>
                <w:sz w:val="22"/>
                <w:szCs w:val="22"/>
              </w:rPr>
              <w:t>3221.67</w:t>
            </w:r>
          </w:p>
        </w:tc>
        <w:tc>
          <w:tcPr>
            <w:tcW w:w="2182"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ascii="宋体" w:hAnsi="宋体"/>
                <w:sz w:val="22"/>
                <w:szCs w:val="22"/>
              </w:rPr>
              <w:t>3221.67</w:t>
            </w:r>
          </w:p>
        </w:tc>
        <w:tc>
          <w:tcPr>
            <w:tcW w:w="3899"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182"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899"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182"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899"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133"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整体支出绩效定性目标及实施计划完成情况</w:t>
            </w:r>
          </w:p>
        </w:tc>
        <w:tc>
          <w:tcPr>
            <w:tcW w:w="3827" w:type="dxa"/>
            <w:gridSpan w:val="7"/>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预期目标</w:t>
            </w:r>
          </w:p>
        </w:tc>
        <w:tc>
          <w:tcPr>
            <w:tcW w:w="4840" w:type="dxa"/>
            <w:gridSpan w:val="9"/>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7" w:hRule="atLeast"/>
          <w:jc w:val="center"/>
        </w:trPr>
        <w:tc>
          <w:tcPr>
            <w:tcW w:w="1133" w:type="dxa"/>
            <w:vMerge w:val="continue"/>
            <w:vAlign w:val="center"/>
          </w:tcPr>
          <w:p>
            <w:pPr>
              <w:spacing w:line="320" w:lineRule="exact"/>
              <w:rPr>
                <w:rFonts w:eastAsia="仿宋_GB2312" w:cs="仿宋_GB2312"/>
                <w:sz w:val="24"/>
              </w:rPr>
            </w:pPr>
          </w:p>
        </w:tc>
        <w:tc>
          <w:tcPr>
            <w:tcW w:w="3827" w:type="dxa"/>
            <w:gridSpan w:val="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任务1：一线疫情防控</w:t>
            </w:r>
          </w:p>
          <w:p>
            <w:pPr>
              <w:autoSpaceDN w:val="0"/>
              <w:spacing w:line="320" w:lineRule="exact"/>
              <w:jc w:val="left"/>
              <w:textAlignment w:val="center"/>
              <w:rPr>
                <w:rFonts w:eastAsia="仿宋_GB2312" w:cs="仿宋_GB2312"/>
                <w:sz w:val="24"/>
              </w:rPr>
            </w:pPr>
            <w:r>
              <w:rPr>
                <w:rFonts w:hint="eastAsia" w:eastAsia="仿宋_GB2312" w:cs="仿宋_GB2312"/>
                <w:sz w:val="24"/>
              </w:rPr>
              <w:t>任务2：坚巩固征地拆迁成效</w:t>
            </w:r>
          </w:p>
          <w:p>
            <w:pPr>
              <w:autoSpaceDN w:val="0"/>
              <w:spacing w:line="320" w:lineRule="exact"/>
              <w:jc w:val="left"/>
              <w:textAlignment w:val="center"/>
              <w:rPr>
                <w:rFonts w:eastAsia="仿宋_GB2312" w:cs="仿宋_GB2312"/>
                <w:sz w:val="24"/>
              </w:rPr>
            </w:pPr>
            <w:r>
              <w:rPr>
                <w:rFonts w:hint="eastAsia" w:eastAsia="仿宋_GB2312" w:cs="仿宋_GB2312"/>
                <w:sz w:val="24"/>
              </w:rPr>
              <w:t>任务3：党建工作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任务4：民生持续提升幸福指数</w:t>
            </w:r>
          </w:p>
          <w:p>
            <w:pPr>
              <w:autoSpaceDN w:val="0"/>
              <w:spacing w:line="320" w:lineRule="exact"/>
              <w:jc w:val="left"/>
              <w:textAlignment w:val="center"/>
              <w:rPr>
                <w:rFonts w:eastAsia="仿宋_GB2312" w:cs="仿宋_GB2312"/>
                <w:sz w:val="24"/>
              </w:rPr>
            </w:pPr>
            <w:r>
              <w:rPr>
                <w:rFonts w:hint="eastAsia" w:eastAsia="仿宋_GB2312" w:cs="仿宋_GB2312"/>
                <w:sz w:val="24"/>
              </w:rPr>
              <w:t>任务5：党建强基凝聚干事创业氛围</w:t>
            </w:r>
          </w:p>
          <w:p>
            <w:pPr>
              <w:autoSpaceDN w:val="0"/>
              <w:spacing w:line="320" w:lineRule="exact"/>
              <w:jc w:val="left"/>
              <w:textAlignment w:val="center"/>
              <w:rPr>
                <w:rFonts w:eastAsia="仿宋_GB2312" w:cs="仿宋_GB2312"/>
                <w:sz w:val="24"/>
              </w:rPr>
            </w:pPr>
            <w:r>
              <w:rPr>
                <w:rFonts w:hint="eastAsia" w:eastAsia="仿宋_GB2312" w:cs="仿宋_GB2312"/>
                <w:sz w:val="24"/>
              </w:rPr>
              <w:t>任务6：做好辖区计划生育工作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任务7：中心工作助推服务发展大局</w:t>
            </w:r>
          </w:p>
          <w:p>
            <w:pPr>
              <w:autoSpaceDN w:val="0"/>
              <w:spacing w:line="320" w:lineRule="exact"/>
              <w:jc w:val="left"/>
              <w:textAlignment w:val="center"/>
              <w:rPr>
                <w:rFonts w:eastAsia="仿宋_GB2312" w:cs="仿宋_GB2312"/>
                <w:sz w:val="24"/>
              </w:rPr>
            </w:pPr>
            <w:r>
              <w:rPr>
                <w:rFonts w:hint="eastAsia" w:eastAsia="仿宋_GB2312" w:cs="仿宋_GB2312"/>
                <w:sz w:val="24"/>
              </w:rPr>
              <w:t>任务8：配合有关部门做好城建、城管工作，管理好居民小区、街道的环境卫生、美化、绿化工作。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任务9：做好辖区民政救助工作及农业农村工作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任务10：做好本单位的工青妇工作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任务11：社区日常工作，贯彻执行上级决策部署。</w:t>
            </w:r>
          </w:p>
        </w:tc>
        <w:tc>
          <w:tcPr>
            <w:tcW w:w="4840" w:type="dxa"/>
            <w:gridSpan w:val="9"/>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吉凤街道坚持以“12355”发展理念为指导，全面落实省、州、区经济工作会议精神，团结奋进、创新求变、砥砺实干。面对突如其来的新冠肺炎疫情，街道切实扛起疫情防控属地管理主体责任，在“迎大战、打硬仗”中统筹推进疫情防控、征地拆迁、社会管理、民生发展、党的建设等重点工作，工作成效明显，实现预定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133"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eastAsia="仿宋_GB2312" w:cs="仿宋_GB2312"/>
                <w:sz w:val="24"/>
              </w:rPr>
            </w:pPr>
            <w:r>
              <w:rPr>
                <w:rFonts w:hint="eastAsia" w:eastAsia="仿宋_GB2312" w:cs="仿宋_GB2312"/>
                <w:sz w:val="24"/>
              </w:rPr>
              <w:t>绩效定量目标及实施计划完成情况</w:t>
            </w:r>
          </w:p>
        </w:tc>
        <w:tc>
          <w:tcPr>
            <w:tcW w:w="2931"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评价内容</w:t>
            </w: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绩效目标</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产出目标</w:t>
            </w:r>
          </w:p>
          <w:p>
            <w:pPr>
              <w:autoSpaceDN w:val="0"/>
              <w:spacing w:line="320" w:lineRule="exact"/>
              <w:jc w:val="center"/>
              <w:textAlignment w:val="center"/>
              <w:rPr>
                <w:rFonts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776"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数量、质量、时效、成本指标</w:t>
            </w:r>
          </w:p>
          <w:p>
            <w:pPr>
              <w:autoSpaceDN w:val="0"/>
              <w:spacing w:line="320" w:lineRule="exact"/>
              <w:jc w:val="center"/>
              <w:textAlignment w:val="center"/>
              <w:rPr>
                <w:rFonts w:eastAsia="仿宋_GB2312" w:cs="仿宋_GB2312"/>
                <w:sz w:val="24"/>
              </w:rPr>
            </w:pP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指标1：</w:t>
            </w: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“3+1”分类处置流程疫情防控</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累计派出干部90人·次，完成居家隔离对象55人，跟踪管理对象48人；为隔离人员解决生活物资困难35次。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continue"/>
            <w:vAlign w:val="center"/>
          </w:tcPr>
          <w:p>
            <w:pPr>
              <w:autoSpaceDN w:val="0"/>
              <w:spacing w:line="320" w:lineRule="exact"/>
              <w:jc w:val="center"/>
              <w:textAlignment w:val="center"/>
              <w:rPr>
                <w:rFonts w:eastAsia="仿宋_GB2312" w:cs="仿宋_GB2312"/>
                <w:sz w:val="24"/>
              </w:rPr>
            </w:pPr>
          </w:p>
        </w:tc>
        <w:tc>
          <w:tcPr>
            <w:tcW w:w="776" w:type="dxa"/>
            <w:vMerge w:val="continue"/>
            <w:vAlign w:val="center"/>
          </w:tcPr>
          <w:p>
            <w:pPr>
              <w:autoSpaceDN w:val="0"/>
              <w:spacing w:line="320" w:lineRule="exact"/>
              <w:jc w:val="center"/>
              <w:textAlignment w:val="center"/>
              <w:rPr>
                <w:rFonts w:eastAsia="仿宋_GB2312" w:cs="仿宋_GB2312"/>
                <w:sz w:val="24"/>
              </w:rPr>
            </w:pP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指标2：</w:t>
            </w: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促进城镇化建设，保障社会和谐</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全年区内完成房屋拆迁56栋，迁坟350余冢，征地380余亩，阻碍各重点项目的征拆重点、难点陆续取得突破。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continue"/>
            <w:vAlign w:val="center"/>
          </w:tcPr>
          <w:p>
            <w:pPr>
              <w:autoSpaceDN w:val="0"/>
              <w:spacing w:line="320" w:lineRule="exact"/>
              <w:jc w:val="center"/>
              <w:textAlignment w:val="center"/>
              <w:rPr>
                <w:rFonts w:eastAsia="仿宋_GB2312" w:cs="仿宋_GB2312"/>
                <w:sz w:val="24"/>
              </w:rPr>
            </w:pPr>
          </w:p>
        </w:tc>
        <w:tc>
          <w:tcPr>
            <w:tcW w:w="776" w:type="dxa"/>
            <w:vMerge w:val="continue"/>
            <w:vAlign w:val="center"/>
          </w:tcPr>
          <w:p>
            <w:pPr>
              <w:autoSpaceDN w:val="0"/>
              <w:spacing w:line="320" w:lineRule="exact"/>
              <w:jc w:val="center"/>
              <w:textAlignment w:val="center"/>
              <w:rPr>
                <w:rFonts w:eastAsia="仿宋_GB2312" w:cs="仿宋_GB2312"/>
                <w:sz w:val="24"/>
              </w:rPr>
            </w:pP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指标3：</w:t>
            </w: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确保社区正常有序运转</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continue"/>
            <w:vAlign w:val="center"/>
          </w:tcPr>
          <w:p>
            <w:pPr>
              <w:autoSpaceDN w:val="0"/>
              <w:spacing w:line="320" w:lineRule="exact"/>
              <w:jc w:val="center"/>
              <w:textAlignment w:val="center"/>
              <w:rPr>
                <w:rFonts w:eastAsia="仿宋_GB2312" w:cs="仿宋_GB2312"/>
                <w:sz w:val="24"/>
              </w:rPr>
            </w:pPr>
          </w:p>
        </w:tc>
        <w:tc>
          <w:tcPr>
            <w:tcW w:w="776" w:type="dxa"/>
            <w:vMerge w:val="continue"/>
            <w:vAlign w:val="center"/>
          </w:tcPr>
          <w:p>
            <w:pPr>
              <w:autoSpaceDN w:val="0"/>
              <w:spacing w:line="320" w:lineRule="exact"/>
              <w:jc w:val="center"/>
              <w:textAlignment w:val="center"/>
              <w:rPr>
                <w:rFonts w:eastAsia="仿宋_GB2312" w:cs="仿宋_GB2312"/>
                <w:sz w:val="24"/>
              </w:rPr>
            </w:pP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指标3：</w:t>
            </w: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三公经费控制</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效益目标</w:t>
            </w:r>
          </w:p>
          <w:p>
            <w:pPr>
              <w:autoSpaceDN w:val="0"/>
              <w:spacing w:line="320" w:lineRule="exact"/>
              <w:jc w:val="center"/>
              <w:textAlignment w:val="center"/>
              <w:rPr>
                <w:rFonts w:eastAsia="仿宋_GB2312" w:cs="仿宋_GB2312"/>
                <w:sz w:val="24"/>
              </w:rPr>
            </w:pPr>
            <w:r>
              <w:rPr>
                <w:rFonts w:hint="eastAsia" w:eastAsia="仿宋_GB2312" w:cs="仿宋_GB2312"/>
                <w:sz w:val="24"/>
              </w:rPr>
              <w:t>（预期实现的效益）</w:t>
            </w:r>
          </w:p>
        </w:tc>
        <w:tc>
          <w:tcPr>
            <w:tcW w:w="776"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社会、经济、生态效益</w:t>
            </w: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指标1：</w:t>
            </w:r>
          </w:p>
          <w:p>
            <w:pPr>
              <w:autoSpaceDN w:val="0"/>
              <w:spacing w:line="320" w:lineRule="exact"/>
              <w:jc w:val="center"/>
              <w:textAlignment w:val="center"/>
              <w:rPr>
                <w:rFonts w:eastAsia="仿宋_GB2312" w:cs="仿宋_GB2312"/>
                <w:sz w:val="24"/>
              </w:rPr>
            </w:pP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1.通过经费运转，实现党建工作扎实推进，实现党员队伍、党员教育、制度管理等有效落实。</w:t>
            </w:r>
          </w:p>
          <w:p>
            <w:pPr>
              <w:autoSpaceDN w:val="0"/>
              <w:spacing w:line="320" w:lineRule="exact"/>
              <w:jc w:val="center"/>
              <w:textAlignment w:val="center"/>
              <w:rPr>
                <w:rFonts w:eastAsia="仿宋_GB2312" w:cs="仿宋_GB2312"/>
                <w:sz w:val="24"/>
              </w:rPr>
            </w:pPr>
            <w:r>
              <w:rPr>
                <w:rFonts w:hint="eastAsia" w:eastAsia="仿宋_GB2312" w:cs="仿宋_GB2312"/>
                <w:sz w:val="24"/>
              </w:rPr>
              <w:t>2.阵地标准、队伍健全、组织落实、政治落实、军事落实</w:t>
            </w:r>
          </w:p>
          <w:p>
            <w:pPr>
              <w:autoSpaceDN w:val="0"/>
              <w:spacing w:line="320" w:lineRule="exact"/>
              <w:jc w:val="center"/>
              <w:textAlignment w:val="center"/>
              <w:rPr>
                <w:rFonts w:eastAsia="仿宋_GB2312" w:cs="仿宋_GB2312"/>
                <w:sz w:val="24"/>
              </w:rPr>
            </w:pPr>
            <w:r>
              <w:rPr>
                <w:rFonts w:hint="eastAsia" w:eastAsia="仿宋_GB2312" w:cs="仿宋_GB2312"/>
                <w:sz w:val="24"/>
              </w:rPr>
              <w:t>3.通过努力，打造一支业务精湛、水平较高的纪检干部队伍，进一步营造风清气正的政治生态环境，干部工作作风进一步转变，努力开创党风廉政建设和反腐败工作新局面，为社会经济发展提供坚强的纪律保证。</w:t>
            </w:r>
          </w:p>
          <w:p>
            <w:pPr>
              <w:autoSpaceDN w:val="0"/>
              <w:spacing w:line="320" w:lineRule="exact"/>
              <w:jc w:val="center"/>
              <w:textAlignment w:val="center"/>
              <w:rPr>
                <w:rFonts w:eastAsia="仿宋_GB2312" w:cs="仿宋_GB2312"/>
                <w:sz w:val="24"/>
              </w:rPr>
            </w:pPr>
            <w:r>
              <w:rPr>
                <w:rFonts w:hint="eastAsia" w:eastAsia="仿宋_GB2312" w:cs="仿宋_GB2312"/>
                <w:sz w:val="24"/>
              </w:rPr>
              <w:t>4、省里目标考核文件卫计工作经费要加大投入，不少于上年度工作经费，其中计生协工作经费不少于卫计工作经费的10%（3万元）</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continue"/>
            <w:vAlign w:val="center"/>
          </w:tcPr>
          <w:p>
            <w:pPr>
              <w:autoSpaceDN w:val="0"/>
              <w:spacing w:line="320" w:lineRule="exact"/>
              <w:jc w:val="center"/>
              <w:textAlignment w:val="center"/>
              <w:rPr>
                <w:rFonts w:eastAsia="仿宋_GB2312" w:cs="仿宋_GB2312"/>
                <w:sz w:val="24"/>
              </w:rPr>
            </w:pPr>
          </w:p>
        </w:tc>
        <w:tc>
          <w:tcPr>
            <w:tcW w:w="776" w:type="dxa"/>
            <w:vMerge w:val="continue"/>
            <w:vAlign w:val="center"/>
          </w:tcPr>
          <w:p>
            <w:pPr>
              <w:autoSpaceDN w:val="0"/>
              <w:spacing w:line="320" w:lineRule="exact"/>
              <w:jc w:val="center"/>
              <w:textAlignment w:val="center"/>
              <w:rPr>
                <w:rFonts w:eastAsia="仿宋_GB2312" w:cs="仿宋_GB2312"/>
                <w:sz w:val="24"/>
              </w:rPr>
            </w:pP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指标2：</w:t>
            </w:r>
          </w:p>
          <w:p>
            <w:pPr>
              <w:autoSpaceDN w:val="0"/>
              <w:spacing w:line="320" w:lineRule="exact"/>
              <w:jc w:val="center"/>
              <w:textAlignment w:val="center"/>
              <w:rPr>
                <w:rFonts w:eastAsia="仿宋_GB2312" w:cs="仿宋_GB2312"/>
                <w:sz w:val="24"/>
              </w:rPr>
            </w:pP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确保社区工作正常有序运转</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continue"/>
            <w:vAlign w:val="center"/>
          </w:tcPr>
          <w:p>
            <w:pPr>
              <w:autoSpaceDN w:val="0"/>
              <w:spacing w:line="320" w:lineRule="exact"/>
              <w:jc w:val="center"/>
              <w:textAlignment w:val="center"/>
              <w:rPr>
                <w:rFonts w:eastAsia="仿宋_GB2312" w:cs="仿宋_GB2312"/>
                <w:sz w:val="24"/>
              </w:rPr>
            </w:pPr>
          </w:p>
        </w:tc>
        <w:tc>
          <w:tcPr>
            <w:tcW w:w="776" w:type="dxa"/>
            <w:vMerge w:val="continue"/>
            <w:vAlign w:val="center"/>
          </w:tcPr>
          <w:p>
            <w:pPr>
              <w:autoSpaceDN w:val="0"/>
              <w:spacing w:line="320" w:lineRule="exact"/>
              <w:jc w:val="center"/>
              <w:textAlignment w:val="center"/>
              <w:rPr>
                <w:rFonts w:eastAsia="仿宋_GB2312" w:cs="仿宋_GB2312"/>
                <w:sz w:val="24"/>
              </w:rPr>
            </w:pP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指标3：</w:t>
            </w:r>
          </w:p>
          <w:p>
            <w:pPr>
              <w:autoSpaceDN w:val="0"/>
              <w:spacing w:line="320" w:lineRule="exact"/>
              <w:jc w:val="center"/>
              <w:textAlignment w:val="center"/>
              <w:rPr>
                <w:rFonts w:eastAsia="仿宋_GB2312" w:cs="仿宋_GB2312"/>
                <w:sz w:val="24"/>
              </w:rPr>
            </w:pP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解决征拆遗留问题，确保征拆户被征拆后能过上正常生活，维护辖区社会稳定和谐。</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continue"/>
            <w:vAlign w:val="center"/>
          </w:tcPr>
          <w:p>
            <w:pPr>
              <w:autoSpaceDN w:val="0"/>
              <w:spacing w:line="320" w:lineRule="exact"/>
              <w:jc w:val="center"/>
              <w:textAlignment w:val="center"/>
              <w:rPr>
                <w:rFonts w:eastAsia="仿宋_GB2312" w:cs="仿宋_GB2312"/>
                <w:sz w:val="24"/>
              </w:rPr>
            </w:pPr>
          </w:p>
        </w:tc>
        <w:tc>
          <w:tcPr>
            <w:tcW w:w="776"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社会公众或服务对象满意度</w:t>
            </w: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指标1：</w:t>
            </w:r>
          </w:p>
          <w:p>
            <w:pPr>
              <w:autoSpaceDN w:val="0"/>
              <w:spacing w:line="320" w:lineRule="exact"/>
              <w:jc w:val="center"/>
              <w:textAlignment w:val="center"/>
              <w:rPr>
                <w:rFonts w:eastAsia="仿宋_GB2312" w:cs="仿宋_GB2312"/>
                <w:sz w:val="24"/>
              </w:rPr>
            </w:pP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辖区居民对社区(行政村）工作的满意度</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&gt;90%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2" w:hRule="atLeast"/>
          <w:jc w:val="center"/>
        </w:trPr>
        <w:tc>
          <w:tcPr>
            <w:tcW w:w="3288"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绩效自评综合得分及评价等次</w:t>
            </w:r>
          </w:p>
        </w:tc>
        <w:tc>
          <w:tcPr>
            <w:tcW w:w="6512" w:type="dxa"/>
            <w:gridSpan w:val="12"/>
            <w:vAlign w:val="center"/>
          </w:tcPr>
          <w:p>
            <w:pPr>
              <w:spacing w:line="320" w:lineRule="exact"/>
              <w:ind w:firstLine="630" w:firstLineChars="300"/>
              <w:rPr>
                <w:rFonts w:eastAsia="楷体_GB2312"/>
              </w:rPr>
            </w:pPr>
            <w:r>
              <w:rPr>
                <w:rFonts w:hint="eastAsia" w:eastAsia="楷体_GB2312"/>
              </w:rPr>
              <w:t>评分：         99                  等级：优</w:t>
            </w:r>
          </w:p>
          <w:p>
            <w:pPr>
              <w:autoSpaceDN w:val="0"/>
              <w:spacing w:line="320" w:lineRule="exact"/>
              <w:jc w:val="left"/>
              <w:textAlignment w:val="center"/>
              <w:rPr>
                <w:rFonts w:ascii="TimesNewRoman" w:hAnsi="TimesNewRoman"/>
                <w:szCs w:val="21"/>
              </w:rPr>
            </w:pPr>
          </w:p>
          <w:p>
            <w:pPr>
              <w:autoSpaceDN w:val="0"/>
              <w:spacing w:line="320" w:lineRule="exact"/>
              <w:jc w:val="left"/>
              <w:textAlignment w:val="center"/>
              <w:rPr>
                <w:rFonts w:eastAsia="仿宋_GB2312" w:cs="仿宋_GB2312"/>
                <w:sz w:val="24"/>
              </w:rPr>
            </w:pPr>
            <w:r>
              <w:rPr>
                <w:rFonts w:hint="eastAsia" w:ascii="TimesNewRoman" w:hAnsi="TimesNewRoman"/>
                <w:szCs w:val="21"/>
              </w:rPr>
              <w:t>备注：</w:t>
            </w:r>
            <w:r>
              <w:rPr>
                <w:rFonts w:ascii="TimesNewRoman" w:hAnsi="TimesNewRoman"/>
                <w:szCs w:val="21"/>
              </w:rPr>
              <w:t>90</w:t>
            </w:r>
            <w:r>
              <w:rPr>
                <w:rFonts w:hint="eastAsia" w:ascii="仿宋_GB2312" w:eastAsia="仿宋_GB2312"/>
                <w:szCs w:val="21"/>
              </w:rPr>
              <w:t>（含）—</w:t>
            </w:r>
            <w:r>
              <w:rPr>
                <w:rFonts w:ascii="TimesNewRoman" w:hAnsi="TimesNewRoman"/>
                <w:szCs w:val="21"/>
              </w:rPr>
              <w:t>100</w:t>
            </w:r>
            <w:r>
              <w:rPr>
                <w:rFonts w:hint="eastAsia" w:ascii="仿宋_GB2312" w:eastAsia="仿宋_GB2312"/>
                <w:szCs w:val="21"/>
              </w:rPr>
              <w:t>分为优；</w:t>
            </w:r>
            <w:r>
              <w:rPr>
                <w:rFonts w:ascii="TimesNewRoman" w:hAnsi="TimesNewRoman"/>
                <w:szCs w:val="21"/>
              </w:rPr>
              <w:t>80</w:t>
            </w:r>
            <w:r>
              <w:rPr>
                <w:rFonts w:hint="eastAsia" w:ascii="仿宋_GB2312" w:eastAsia="仿宋_GB2312"/>
                <w:szCs w:val="21"/>
              </w:rPr>
              <w:t>（含）—</w:t>
            </w:r>
            <w:r>
              <w:rPr>
                <w:rFonts w:ascii="TimesNewRoman" w:hAnsi="TimesNewRoman"/>
                <w:szCs w:val="21"/>
              </w:rPr>
              <w:t>90</w:t>
            </w:r>
            <w:r>
              <w:rPr>
                <w:rFonts w:hint="eastAsia" w:ascii="仿宋_GB2312" w:eastAsia="仿宋_GB2312"/>
                <w:szCs w:val="21"/>
              </w:rPr>
              <w:t>分为良；</w:t>
            </w:r>
            <w:r>
              <w:rPr>
                <w:rFonts w:ascii="TimesNewRoman" w:hAnsi="TimesNewRoman"/>
                <w:szCs w:val="21"/>
              </w:rPr>
              <w:t xml:space="preserve"> 60</w:t>
            </w:r>
            <w:r>
              <w:rPr>
                <w:rFonts w:hint="eastAsia" w:ascii="仿宋_GB2312" w:eastAsia="仿宋_GB2312"/>
                <w:szCs w:val="21"/>
              </w:rPr>
              <w:t>（含）—</w:t>
            </w:r>
            <w:r>
              <w:rPr>
                <w:rFonts w:ascii="TimesNewRoman" w:hAnsi="TimesNewRoman"/>
                <w:szCs w:val="21"/>
              </w:rPr>
              <w:t>80</w:t>
            </w:r>
            <w:r>
              <w:rPr>
                <w:rFonts w:hint="eastAsia" w:ascii="仿宋_GB2312" w:eastAsia="仿宋_GB2312"/>
                <w:szCs w:val="21"/>
              </w:rPr>
              <w:t xml:space="preserve"> 分为较差；</w:t>
            </w:r>
            <w:r>
              <w:rPr>
                <w:rFonts w:ascii="TimesNewRoman" w:hAnsi="TimesNewRoman"/>
                <w:szCs w:val="21"/>
              </w:rPr>
              <w:t>60</w:t>
            </w:r>
            <w:r>
              <w:rPr>
                <w:rFonts w:hint="eastAsia" w:ascii="仿宋_GB2312" w:eastAsia="仿宋_GB2312"/>
                <w:szCs w:val="21"/>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姓  名</w:t>
            </w:r>
          </w:p>
        </w:tc>
        <w:tc>
          <w:tcPr>
            <w:tcW w:w="3308"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职务/职称</w:t>
            </w:r>
          </w:p>
        </w:tc>
        <w:tc>
          <w:tcPr>
            <w:tcW w:w="1734"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单  位</w:t>
            </w:r>
          </w:p>
        </w:tc>
        <w:tc>
          <w:tcPr>
            <w:tcW w:w="3106"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窦懿</w:t>
            </w:r>
          </w:p>
        </w:tc>
        <w:tc>
          <w:tcPr>
            <w:tcW w:w="3308"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单位负责人</w:t>
            </w:r>
          </w:p>
        </w:tc>
        <w:tc>
          <w:tcPr>
            <w:tcW w:w="1734" w:type="dxa"/>
            <w:vAlign w:val="center"/>
          </w:tcPr>
          <w:p>
            <w:pPr>
              <w:autoSpaceDN w:val="0"/>
              <w:spacing w:line="320" w:lineRule="exact"/>
              <w:jc w:val="center"/>
              <w:textAlignment w:val="center"/>
              <w:rPr>
                <w:rFonts w:eastAsia="仿宋_GB2312" w:cs="仿宋_GB2312"/>
                <w:sz w:val="24"/>
              </w:rPr>
            </w:pPr>
          </w:p>
        </w:tc>
        <w:tc>
          <w:tcPr>
            <w:tcW w:w="3106" w:type="dxa"/>
            <w:gridSpan w:val="8"/>
            <w:vAlign w:val="center"/>
          </w:tcPr>
          <w:p>
            <w:pPr>
              <w:autoSpaceDN w:val="0"/>
              <w:spacing w:line="320" w:lineRule="exact"/>
              <w:jc w:val="center"/>
              <w:textAlignment w:val="center"/>
              <w:rPr>
                <w:rFonts w:eastAsia="仿宋_GB2312" w:cs="仿宋_GB2312"/>
                <w:sz w:val="24"/>
              </w:rPr>
            </w:pPr>
          </w:p>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田宇</w:t>
            </w:r>
          </w:p>
        </w:tc>
        <w:tc>
          <w:tcPr>
            <w:tcW w:w="3308"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财务负责人</w:t>
            </w:r>
          </w:p>
        </w:tc>
        <w:tc>
          <w:tcPr>
            <w:tcW w:w="1734" w:type="dxa"/>
            <w:vAlign w:val="center"/>
          </w:tcPr>
          <w:p>
            <w:pPr>
              <w:autoSpaceDN w:val="0"/>
              <w:spacing w:line="320" w:lineRule="exact"/>
              <w:jc w:val="center"/>
              <w:textAlignment w:val="center"/>
              <w:rPr>
                <w:rFonts w:eastAsia="仿宋_GB2312" w:cs="仿宋_GB2312"/>
                <w:sz w:val="24"/>
              </w:rPr>
            </w:pP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vAlign w:val="center"/>
          </w:tcPr>
          <w:p>
            <w:pPr>
              <w:autoSpaceDN w:val="0"/>
              <w:spacing w:line="320" w:lineRule="exact"/>
              <w:textAlignment w:val="center"/>
              <w:rPr>
                <w:rFonts w:eastAsia="仿宋_GB2312" w:cs="仿宋_GB2312"/>
                <w:sz w:val="24"/>
              </w:rPr>
            </w:pPr>
            <w:r>
              <w:rPr>
                <w:rFonts w:hint="eastAsia" w:eastAsia="仿宋_GB2312" w:cs="仿宋_GB2312"/>
                <w:sz w:val="24"/>
              </w:rPr>
              <w:t xml:space="preserve">     李蓉</w:t>
            </w:r>
          </w:p>
        </w:tc>
        <w:tc>
          <w:tcPr>
            <w:tcW w:w="3308"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会计</w:t>
            </w:r>
          </w:p>
        </w:tc>
        <w:tc>
          <w:tcPr>
            <w:tcW w:w="1734" w:type="dxa"/>
            <w:vAlign w:val="center"/>
          </w:tcPr>
          <w:p>
            <w:pPr>
              <w:autoSpaceDN w:val="0"/>
              <w:spacing w:line="320" w:lineRule="exact"/>
              <w:jc w:val="center"/>
              <w:textAlignment w:val="center"/>
              <w:rPr>
                <w:rFonts w:eastAsia="仿宋_GB2312" w:cs="仿宋_GB2312"/>
                <w:sz w:val="24"/>
              </w:rPr>
            </w:pP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2" w:hRule="atLeast"/>
          <w:jc w:val="center"/>
        </w:trPr>
        <w:tc>
          <w:tcPr>
            <w:tcW w:w="9800" w:type="dxa"/>
            <w:gridSpan w:val="1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ind w:firstLine="5760" w:firstLineChars="2400"/>
              <w:jc w:val="left"/>
              <w:textAlignment w:val="center"/>
              <w:rPr>
                <w:rFonts w:eastAsia="仿宋_GB2312" w:cs="仿宋_GB2312"/>
                <w:sz w:val="24"/>
              </w:rPr>
            </w:pPr>
            <w:r>
              <w:rPr>
                <w:rFonts w:hint="eastAsia" w:eastAsia="仿宋_GB2312" w:cs="仿宋_GB2312"/>
                <w:sz w:val="24"/>
              </w:rPr>
              <w:t>评价组组长（签字）：</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部门（单位）负责人（签字）：                部门（单位）（盖章）：</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 xml:space="preserve">     财政部门意见：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财政部门负责人（签字）：                         财政部门（盖章）：</w:t>
            </w:r>
          </w:p>
          <w:p>
            <w:pPr>
              <w:autoSpaceDN w:val="0"/>
              <w:spacing w:line="320" w:lineRule="exact"/>
              <w:jc w:val="left"/>
              <w:textAlignment w:val="center"/>
              <w:rPr>
                <w:rFonts w:eastAsia="仿宋_GB2312"/>
                <w:sz w:val="24"/>
              </w:rPr>
            </w:pPr>
          </w:p>
          <w:p>
            <w:pPr>
              <w:autoSpaceDN w:val="0"/>
              <w:spacing w:line="320" w:lineRule="exact"/>
              <w:ind w:firstLine="7680" w:firstLineChars="3200"/>
              <w:jc w:val="left"/>
              <w:textAlignment w:val="center"/>
              <w:rPr>
                <w:rFonts w:eastAsia="仿宋_GB2312" w:cs="仿宋_GB2312"/>
                <w:sz w:val="24"/>
              </w:rPr>
            </w:pPr>
            <w:r>
              <w:rPr>
                <w:rFonts w:hint="eastAsia" w:eastAsia="仿宋_GB2312"/>
                <w:sz w:val="24"/>
              </w:rPr>
              <w:t>年    月   日</w:t>
            </w:r>
          </w:p>
        </w:tc>
      </w:tr>
    </w:tbl>
    <w:tbl>
      <w:tblPr>
        <w:tblStyle w:val="6"/>
        <w:tblpPr w:leftFromText="180" w:rightFromText="180" w:vertAnchor="text" w:tblpX="10483" w:tblpY="-327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tcPr>
          <w:p>
            <w:pPr>
              <w:spacing w:line="560" w:lineRule="exact"/>
              <w:jc w:val="center"/>
              <w:rPr>
                <w:rFonts w:eastAsia="方正小标宋_GBK"/>
                <w:sz w:val="36"/>
                <w:szCs w:val="36"/>
              </w:rPr>
            </w:pPr>
          </w:p>
        </w:tc>
      </w:tr>
    </w:tbl>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r>
        <w:rPr>
          <w:rFonts w:hint="eastAsia" w:eastAsia="方正小标宋简体" w:cs="Arial"/>
          <w:bCs/>
          <w:sz w:val="44"/>
          <w:szCs w:val="44"/>
        </w:rPr>
        <w:t>部门整体支出绩效评价报告</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rPr>
          <w:rFonts w:eastAsia="黑体"/>
          <w:sz w:val="32"/>
          <w:szCs w:val="32"/>
        </w:rPr>
      </w:pPr>
    </w:p>
    <w:p>
      <w:pPr>
        <w:spacing w:line="600" w:lineRule="exact"/>
        <w:ind w:firstLine="640" w:firstLineChars="200"/>
        <w:rPr>
          <w:rFonts w:eastAsia="黑体"/>
          <w:sz w:val="32"/>
          <w:szCs w:val="32"/>
        </w:rPr>
      </w:pPr>
      <w:r>
        <w:rPr>
          <w:rFonts w:eastAsia="黑体"/>
          <w:sz w:val="32"/>
          <w:szCs w:val="32"/>
        </w:rPr>
        <w:t>一、基本情况</w:t>
      </w:r>
    </w:p>
    <w:p>
      <w:pPr>
        <w:spacing w:line="600" w:lineRule="exact"/>
        <w:ind w:firstLine="643" w:firstLineChars="200"/>
        <w:rPr>
          <w:rFonts w:cs="宋体"/>
          <w:b/>
          <w:bCs/>
          <w:sz w:val="32"/>
          <w:szCs w:val="32"/>
        </w:rPr>
      </w:pPr>
      <w:r>
        <w:rPr>
          <w:rFonts w:eastAsia="楷体_GB2312"/>
          <w:b/>
          <w:bCs/>
          <w:sz w:val="32"/>
          <w:szCs w:val="32"/>
        </w:rPr>
        <w:t>（一）部门（单位）基本情</w:t>
      </w:r>
      <w:r>
        <w:rPr>
          <w:rFonts w:hint="eastAsia" w:cs="宋体"/>
          <w:b/>
          <w:bCs/>
          <w:sz w:val="32"/>
          <w:szCs w:val="32"/>
        </w:rPr>
        <w:t>况</w:t>
      </w:r>
    </w:p>
    <w:p>
      <w:pPr>
        <w:spacing w:line="600" w:lineRule="exact"/>
        <w:ind w:firstLine="640" w:firstLineChars="200"/>
        <w:rPr>
          <w:rFonts w:eastAsia="仿宋_GB2312"/>
          <w:sz w:val="32"/>
          <w:szCs w:val="32"/>
        </w:rPr>
      </w:pPr>
      <w:r>
        <w:rPr>
          <w:rFonts w:hint="eastAsia" w:eastAsia="仿宋_GB2312"/>
          <w:sz w:val="32"/>
          <w:szCs w:val="32"/>
        </w:rPr>
        <w:t>吉首市吉凤街道办事处系正科级行政机构，委托湖南湘西经济开发区管理委员会管理。单位统一社会信用代码为：114331005676894003，单位地址为湖南省吉首市湘西经济开发区开发路07号，单位负责人：窦懿。吉首市吉凤街道办事处下设二极机构7个，其中：行政机构2个，为吉凤街道办事处财政所、吉凤街道办事处司法所；全额拨款事业单位5个，为吉凤街道城乡建设和安全生产监督管理站、吉凤街道农村工作服务站、吉凤街道社会事务管理服务站、吉凤街道计划生育服务站和吉凤街道国土资源所。二级机构财务均未独立核算，合并在吉首市吉凤街道办事处核算。截止2020年12月31日，本单位（含二级机构）经州编委核定的在职人员编制人数为52人，其中：行政编制24人，事业编制25人。年末实有在职人员人数为49人，其中：行政编制24人，事业编制25人。年末另有其他人员114人，均为一般公共预算财政拨款开支人员。</w:t>
      </w:r>
    </w:p>
    <w:p>
      <w:pPr>
        <w:spacing w:line="600" w:lineRule="exact"/>
        <w:ind w:firstLine="640" w:firstLineChars="200"/>
        <w:rPr>
          <w:rFonts w:eastAsia="仿宋_GB2312"/>
          <w:sz w:val="32"/>
          <w:szCs w:val="32"/>
        </w:rPr>
      </w:pPr>
      <w:r>
        <w:rPr>
          <w:rFonts w:hint="eastAsia" w:eastAsia="仿宋_GB2312"/>
          <w:sz w:val="32"/>
          <w:szCs w:val="32"/>
        </w:rPr>
        <w:t>2、部门职责概述</w:t>
      </w:r>
    </w:p>
    <w:p>
      <w:pPr>
        <w:spacing w:line="600" w:lineRule="exact"/>
        <w:ind w:firstLine="640" w:firstLineChars="200"/>
        <w:rPr>
          <w:rFonts w:eastAsia="仿宋_GB2312"/>
          <w:sz w:val="32"/>
          <w:szCs w:val="32"/>
        </w:rPr>
      </w:pPr>
      <w:r>
        <w:rPr>
          <w:rFonts w:hint="eastAsia" w:eastAsia="仿宋_GB2312"/>
          <w:sz w:val="32"/>
          <w:szCs w:val="32"/>
        </w:rPr>
        <w:t>根据湘西自治州机构编制委员会办公室《关于设立吉首市吉凤街道办事处的批复》（州编办发〔2010〕172号）文件，单位的主要职责是：在本级党工委的领导下，负责执行上级国家行政机关的决定和命令；负责研究制定和组织实施本街道经济建设和社会发展计划；负责领导组织实施管理本街道区域内的经济，负责城市管理、科教、文化、卫生、就业保障、民政、体育、安全、综治、社区建设等行政工作；负责领导、指导区域内的村和社区居委会的经济建设和精神文明建设工作，确保本街道经济发展和社会的全面进步；保护社会主义全民所有制的财产和劳动群众集体所有制的财产，保护公民的合法财产，保障公民的人身权利、民主权利和其它权利；保护其它合法经济组织的合法权益；保障少数民族的权利和尊重少数民族的风俗习惯，保障宪法和法律赋予的男女平等、同工同酬和婚姻自由等各项权利；做好信访、民事调解工作，维护社会稳定；加强办事处的自身建设，认真调查研究，提高决策能力和执政水平；承办上级党委、政府交办的其他事项。</w:t>
      </w:r>
    </w:p>
    <w:p>
      <w:pPr>
        <w:numPr>
          <w:ilvl w:val="0"/>
          <w:numId w:val="1"/>
        </w:numPr>
        <w:spacing w:line="600" w:lineRule="exact"/>
        <w:ind w:firstLine="643" w:firstLineChars="200"/>
        <w:rPr>
          <w:rFonts w:eastAsia="楷体_GB2312"/>
          <w:b/>
          <w:bCs/>
          <w:sz w:val="32"/>
          <w:szCs w:val="32"/>
        </w:rPr>
      </w:pPr>
      <w:r>
        <w:rPr>
          <w:rFonts w:eastAsia="楷体_GB2312"/>
          <w:b/>
          <w:bCs/>
          <w:sz w:val="32"/>
          <w:szCs w:val="32"/>
        </w:rPr>
        <w:t>部门（单位）年度整体支出绩效目标，</w:t>
      </w:r>
      <w:r>
        <w:rPr>
          <w:rFonts w:hint="eastAsia"/>
          <w:b/>
          <w:bCs/>
          <w:sz w:val="32"/>
          <w:szCs w:val="32"/>
        </w:rPr>
        <w:t>州</w:t>
      </w:r>
      <w:r>
        <w:rPr>
          <w:rFonts w:eastAsia="楷体_GB2312"/>
          <w:b/>
          <w:bCs/>
          <w:sz w:val="32"/>
          <w:szCs w:val="32"/>
        </w:rPr>
        <w:t>级专项资金绩效目标、其他项目支出（除</w:t>
      </w:r>
      <w:r>
        <w:rPr>
          <w:rFonts w:hint="eastAsia"/>
          <w:b/>
          <w:bCs/>
          <w:sz w:val="32"/>
          <w:szCs w:val="32"/>
        </w:rPr>
        <w:t>州</w:t>
      </w:r>
      <w:r>
        <w:rPr>
          <w:rFonts w:eastAsia="楷体_GB2312"/>
          <w:b/>
          <w:bCs/>
          <w:sz w:val="32"/>
          <w:szCs w:val="32"/>
        </w:rPr>
        <w:t>级专项资金以外）绩效</w:t>
      </w:r>
      <w:r>
        <w:rPr>
          <w:rFonts w:hint="eastAsia" w:eastAsia="楷体_GB2312"/>
          <w:b/>
          <w:bCs/>
          <w:sz w:val="32"/>
          <w:szCs w:val="32"/>
        </w:rPr>
        <w:t>目标</w:t>
      </w:r>
    </w:p>
    <w:p>
      <w:pPr>
        <w:spacing w:line="600" w:lineRule="exact"/>
        <w:ind w:firstLine="640" w:firstLineChars="200"/>
        <w:rPr>
          <w:rFonts w:eastAsia="仿宋_GB2312"/>
          <w:sz w:val="32"/>
          <w:szCs w:val="32"/>
        </w:rPr>
      </w:pPr>
      <w:r>
        <w:rPr>
          <w:rFonts w:hint="eastAsia" w:eastAsia="仿宋_GB2312"/>
          <w:sz w:val="32"/>
          <w:szCs w:val="32"/>
        </w:rPr>
        <w:t>任务1：一线疫情防控</w:t>
      </w:r>
    </w:p>
    <w:p>
      <w:pPr>
        <w:spacing w:line="600" w:lineRule="exact"/>
        <w:ind w:firstLine="640" w:firstLineChars="200"/>
        <w:rPr>
          <w:rFonts w:eastAsia="仿宋_GB2312"/>
          <w:sz w:val="32"/>
          <w:szCs w:val="32"/>
        </w:rPr>
      </w:pPr>
      <w:r>
        <w:rPr>
          <w:rFonts w:hint="eastAsia" w:eastAsia="仿宋_GB2312"/>
          <w:sz w:val="32"/>
          <w:szCs w:val="32"/>
        </w:rPr>
        <w:t>任务2：坚巩固征地拆迁成效</w:t>
      </w:r>
    </w:p>
    <w:p>
      <w:pPr>
        <w:spacing w:line="600" w:lineRule="exact"/>
        <w:ind w:firstLine="640" w:firstLineChars="200"/>
        <w:rPr>
          <w:rFonts w:eastAsia="仿宋_GB2312"/>
          <w:sz w:val="32"/>
          <w:szCs w:val="32"/>
        </w:rPr>
      </w:pPr>
      <w:r>
        <w:rPr>
          <w:rFonts w:hint="eastAsia" w:eastAsia="仿宋_GB2312"/>
          <w:sz w:val="32"/>
          <w:szCs w:val="32"/>
        </w:rPr>
        <w:t>任务3：党建工作</w:t>
      </w:r>
    </w:p>
    <w:p>
      <w:pPr>
        <w:spacing w:line="600" w:lineRule="exact"/>
        <w:ind w:firstLine="640" w:firstLineChars="200"/>
        <w:rPr>
          <w:rFonts w:eastAsia="仿宋_GB2312"/>
          <w:sz w:val="32"/>
          <w:szCs w:val="32"/>
        </w:rPr>
      </w:pPr>
      <w:r>
        <w:rPr>
          <w:rFonts w:hint="eastAsia" w:eastAsia="仿宋_GB2312"/>
          <w:sz w:val="32"/>
          <w:szCs w:val="32"/>
        </w:rPr>
        <w:t>任务4：民生持续提升幸福指数</w:t>
      </w:r>
    </w:p>
    <w:p>
      <w:pPr>
        <w:spacing w:line="600" w:lineRule="exact"/>
        <w:ind w:firstLine="640" w:firstLineChars="200"/>
        <w:rPr>
          <w:rFonts w:eastAsia="仿宋_GB2312"/>
          <w:sz w:val="32"/>
          <w:szCs w:val="32"/>
        </w:rPr>
      </w:pPr>
      <w:r>
        <w:rPr>
          <w:rFonts w:hint="eastAsia" w:eastAsia="仿宋_GB2312"/>
          <w:sz w:val="32"/>
          <w:szCs w:val="32"/>
        </w:rPr>
        <w:t>任务5：党建强基凝聚干事创业氛围</w:t>
      </w:r>
    </w:p>
    <w:p>
      <w:pPr>
        <w:spacing w:line="600" w:lineRule="exact"/>
        <w:ind w:firstLine="640" w:firstLineChars="200"/>
        <w:rPr>
          <w:rFonts w:eastAsia="仿宋_GB2312"/>
          <w:sz w:val="32"/>
          <w:szCs w:val="32"/>
        </w:rPr>
      </w:pPr>
      <w:r>
        <w:rPr>
          <w:rFonts w:hint="eastAsia" w:eastAsia="仿宋_GB2312"/>
          <w:sz w:val="32"/>
          <w:szCs w:val="32"/>
        </w:rPr>
        <w:t>任务6：做好辖区计划生育工作</w:t>
      </w:r>
    </w:p>
    <w:p>
      <w:pPr>
        <w:spacing w:line="600" w:lineRule="exact"/>
        <w:ind w:firstLine="640" w:firstLineChars="200"/>
        <w:rPr>
          <w:rFonts w:eastAsia="仿宋_GB2312"/>
          <w:sz w:val="32"/>
          <w:szCs w:val="32"/>
        </w:rPr>
      </w:pPr>
      <w:r>
        <w:rPr>
          <w:rFonts w:hint="eastAsia" w:eastAsia="仿宋_GB2312"/>
          <w:sz w:val="32"/>
          <w:szCs w:val="32"/>
        </w:rPr>
        <w:t>任务7：中心工作助推服务发展大局</w:t>
      </w:r>
    </w:p>
    <w:p>
      <w:pPr>
        <w:spacing w:line="600" w:lineRule="exact"/>
        <w:ind w:firstLine="640" w:firstLineChars="200"/>
        <w:rPr>
          <w:rFonts w:eastAsia="仿宋_GB2312"/>
          <w:sz w:val="32"/>
          <w:szCs w:val="32"/>
        </w:rPr>
      </w:pPr>
      <w:r>
        <w:rPr>
          <w:rFonts w:hint="eastAsia" w:eastAsia="仿宋_GB2312"/>
          <w:sz w:val="32"/>
          <w:szCs w:val="32"/>
        </w:rPr>
        <w:t>任务8：配合有关部门做好城建、城管工作，管理好居民小区、街道的环境卫生、美化、绿化工作。</w:t>
      </w:r>
    </w:p>
    <w:p>
      <w:pPr>
        <w:spacing w:line="600" w:lineRule="exact"/>
        <w:ind w:firstLine="640" w:firstLineChars="200"/>
        <w:rPr>
          <w:rFonts w:eastAsia="仿宋_GB2312"/>
          <w:sz w:val="32"/>
          <w:szCs w:val="32"/>
        </w:rPr>
      </w:pPr>
      <w:r>
        <w:rPr>
          <w:rFonts w:hint="eastAsia" w:eastAsia="仿宋_GB2312"/>
          <w:sz w:val="32"/>
          <w:szCs w:val="32"/>
        </w:rPr>
        <w:t>任务9：做好辖区民政救助工作及农业农村工作</w:t>
      </w:r>
    </w:p>
    <w:p>
      <w:pPr>
        <w:spacing w:line="600" w:lineRule="exact"/>
        <w:ind w:firstLine="640" w:firstLineChars="200"/>
        <w:rPr>
          <w:rFonts w:eastAsia="仿宋_GB2312"/>
          <w:sz w:val="32"/>
          <w:szCs w:val="32"/>
        </w:rPr>
      </w:pPr>
      <w:r>
        <w:rPr>
          <w:rFonts w:hint="eastAsia" w:eastAsia="仿宋_GB2312"/>
          <w:sz w:val="32"/>
          <w:szCs w:val="32"/>
        </w:rPr>
        <w:t>任务10：做好本单位的工青妇工作</w:t>
      </w:r>
    </w:p>
    <w:p>
      <w:pPr>
        <w:spacing w:line="600" w:lineRule="exact"/>
        <w:ind w:firstLine="640" w:firstLineChars="200"/>
        <w:rPr>
          <w:rFonts w:eastAsia="仿宋_GB2312"/>
          <w:sz w:val="32"/>
          <w:szCs w:val="32"/>
        </w:rPr>
      </w:pPr>
      <w:r>
        <w:rPr>
          <w:rFonts w:hint="eastAsia" w:eastAsia="仿宋_GB2312"/>
          <w:sz w:val="32"/>
          <w:szCs w:val="32"/>
        </w:rPr>
        <w:t>任务11：社区日常工作，贯彻执行上级决策部署。</w:t>
      </w:r>
    </w:p>
    <w:p>
      <w:pPr>
        <w:numPr>
          <w:ilvl w:val="0"/>
          <w:numId w:val="2"/>
        </w:numPr>
        <w:spacing w:line="600" w:lineRule="exact"/>
        <w:ind w:firstLine="640" w:firstLineChars="200"/>
        <w:rPr>
          <w:rFonts w:eastAsia="黑体"/>
          <w:sz w:val="32"/>
          <w:szCs w:val="32"/>
        </w:rPr>
      </w:pPr>
      <w:r>
        <w:rPr>
          <w:rFonts w:eastAsia="黑体"/>
          <w:sz w:val="32"/>
          <w:szCs w:val="32"/>
        </w:rPr>
        <w:t>一般公共预算支出情况</w:t>
      </w:r>
    </w:p>
    <w:p>
      <w:pPr>
        <w:spacing w:line="600" w:lineRule="exact"/>
        <w:ind w:firstLine="960" w:firstLineChars="300"/>
        <w:rPr>
          <w:rFonts w:eastAsia="黑体"/>
          <w:sz w:val="32"/>
          <w:szCs w:val="32"/>
        </w:rPr>
      </w:pPr>
      <w:r>
        <w:rPr>
          <w:rFonts w:hint="eastAsia" w:eastAsia="仿宋_GB2312"/>
          <w:sz w:val="32"/>
          <w:szCs w:val="32"/>
        </w:rPr>
        <w:t>2020年支出实际完成2018.68万元，比上年减少318.45万元，减少12.97%。主要原因是：压缩节约开支。</w:t>
      </w:r>
    </w:p>
    <w:p>
      <w:pPr>
        <w:spacing w:line="600" w:lineRule="exact"/>
        <w:ind w:firstLine="643"/>
        <w:rPr>
          <w:rFonts w:cs="宋体"/>
          <w:b/>
          <w:bCs/>
          <w:sz w:val="32"/>
          <w:szCs w:val="32"/>
        </w:rPr>
      </w:pPr>
      <w:r>
        <w:rPr>
          <w:rFonts w:eastAsia="楷体_GB2312"/>
          <w:b/>
          <w:bCs/>
          <w:sz w:val="32"/>
          <w:szCs w:val="32"/>
        </w:rPr>
        <w:t>（一）基本支出情</w:t>
      </w:r>
      <w:r>
        <w:rPr>
          <w:rFonts w:hint="eastAsia" w:cs="宋体"/>
          <w:b/>
          <w:bCs/>
          <w:sz w:val="32"/>
          <w:szCs w:val="32"/>
        </w:rPr>
        <w:t>况</w:t>
      </w:r>
    </w:p>
    <w:p>
      <w:pPr>
        <w:spacing w:line="600" w:lineRule="exact"/>
        <w:ind w:firstLine="960" w:firstLineChars="300"/>
        <w:rPr>
          <w:rFonts w:eastAsia="仿宋_GB2312"/>
          <w:sz w:val="32"/>
          <w:szCs w:val="32"/>
        </w:rPr>
      </w:pPr>
      <w:r>
        <w:rPr>
          <w:rFonts w:hint="eastAsia" w:eastAsia="仿宋_GB2312"/>
          <w:sz w:val="32"/>
          <w:szCs w:val="32"/>
        </w:rPr>
        <w:t>基本支出1490.10，比上年增加166.90万元，增加12.61%,变化原因补交往年养老保险。</w:t>
      </w:r>
    </w:p>
    <w:p>
      <w:pPr>
        <w:numPr>
          <w:ilvl w:val="0"/>
          <w:numId w:val="1"/>
        </w:numPr>
        <w:spacing w:line="600" w:lineRule="exact"/>
        <w:ind w:firstLine="643" w:firstLineChars="200"/>
        <w:rPr>
          <w:rFonts w:cs="宋体"/>
          <w:b/>
          <w:bCs/>
          <w:sz w:val="32"/>
          <w:szCs w:val="32"/>
        </w:rPr>
      </w:pPr>
      <w:r>
        <w:rPr>
          <w:rFonts w:eastAsia="楷体_GB2312"/>
          <w:b/>
          <w:bCs/>
          <w:sz w:val="32"/>
          <w:szCs w:val="32"/>
        </w:rPr>
        <w:t>项目支出情</w:t>
      </w:r>
      <w:r>
        <w:rPr>
          <w:rFonts w:hint="eastAsia" w:cs="宋体"/>
          <w:b/>
          <w:bCs/>
          <w:sz w:val="32"/>
          <w:szCs w:val="32"/>
        </w:rPr>
        <w:t>况</w:t>
      </w:r>
    </w:p>
    <w:p>
      <w:pPr>
        <w:spacing w:line="600" w:lineRule="exact"/>
        <w:ind w:firstLine="640" w:firstLineChars="200"/>
        <w:rPr>
          <w:rFonts w:eastAsia="仿宋_GB2312"/>
          <w:sz w:val="32"/>
          <w:szCs w:val="32"/>
        </w:rPr>
      </w:pPr>
      <w:r>
        <w:rPr>
          <w:rFonts w:hint="eastAsia" w:eastAsia="仿宋_GB2312"/>
          <w:sz w:val="32"/>
          <w:szCs w:val="32"/>
        </w:rPr>
        <w:t>项目支出496.89万元，比上年减少485.35万元，下降42.89%；变化的主要原因：压缩节约开支。</w:t>
      </w:r>
    </w:p>
    <w:p>
      <w:pPr>
        <w:spacing w:line="600" w:lineRule="exact"/>
        <w:ind w:firstLine="640" w:firstLineChars="200"/>
        <w:rPr>
          <w:rFonts w:eastAsia="仿宋_GB2312" w:cs="仿宋_GB2312"/>
          <w:sz w:val="32"/>
          <w:szCs w:val="32"/>
        </w:rPr>
      </w:pPr>
      <w:r>
        <w:rPr>
          <w:rFonts w:hint="eastAsia" w:eastAsia="仿宋_GB2312" w:cs="仿宋_GB2312"/>
          <w:sz w:val="32"/>
          <w:szCs w:val="32"/>
        </w:rPr>
        <w:t>213农林水支出（党委办公厅（室）及相关机构事务），根据“湖南湘西经济开发区财政局关于2020年湘西经济开发区部门预算批复函”财政安排0.00万元，年初结转和结余0.00,财政拨款90.25,项目支出90.25万元,年末结转和结余0.00，全面完成预算。</w:t>
      </w:r>
    </w:p>
    <w:p>
      <w:pPr>
        <w:spacing w:line="600" w:lineRule="exact"/>
        <w:ind w:firstLine="640" w:firstLineChars="200"/>
        <w:rPr>
          <w:rFonts w:cs="宋体"/>
          <w:b/>
          <w:bCs/>
          <w:sz w:val="32"/>
          <w:szCs w:val="32"/>
        </w:rPr>
      </w:pPr>
      <w:r>
        <w:rPr>
          <w:rFonts w:hint="eastAsia" w:eastAsia="仿宋_GB2312" w:cs="仿宋_GB2312"/>
          <w:sz w:val="32"/>
          <w:szCs w:val="32"/>
        </w:rPr>
        <w:t>21201城乡社区管理事务，根据“湖南湘西经济开发区财政局关于2020年湘西经济开发区部门预算批复函”财政安排100.00万元，年初结转和结余43.13,财政拨款104.44,项目支出147.57万元,年末结转和结余0.00，</w:t>
      </w:r>
    </w:p>
    <w:p>
      <w:pPr>
        <w:numPr>
          <w:ilvl w:val="0"/>
          <w:numId w:val="3"/>
        </w:numPr>
        <w:spacing w:line="600" w:lineRule="exact"/>
        <w:ind w:firstLine="640"/>
        <w:rPr>
          <w:rFonts w:eastAsia="黑体"/>
          <w:sz w:val="32"/>
          <w:szCs w:val="32"/>
        </w:rPr>
      </w:pPr>
      <w:r>
        <w:rPr>
          <w:rFonts w:eastAsia="黑体"/>
          <w:sz w:val="32"/>
          <w:szCs w:val="32"/>
        </w:rPr>
        <w:t>政府性基金预算支出情况</w:t>
      </w:r>
    </w:p>
    <w:p>
      <w:pPr>
        <w:spacing w:line="600" w:lineRule="exact"/>
        <w:ind w:firstLine="640" w:firstLineChars="200"/>
        <w:rPr>
          <w:rFonts w:eastAsia="黑体"/>
          <w:sz w:val="32"/>
          <w:szCs w:val="32"/>
        </w:rPr>
      </w:pPr>
      <w:r>
        <w:rPr>
          <w:rFonts w:hint="eastAsia" w:eastAsia="黑体"/>
          <w:sz w:val="32"/>
          <w:szCs w:val="32"/>
        </w:rPr>
        <w:t>无</w:t>
      </w:r>
    </w:p>
    <w:p>
      <w:pPr>
        <w:numPr>
          <w:ilvl w:val="0"/>
          <w:numId w:val="3"/>
        </w:numPr>
        <w:spacing w:line="600" w:lineRule="exact"/>
        <w:ind w:firstLine="640"/>
        <w:rPr>
          <w:rFonts w:eastAsia="黑体"/>
          <w:sz w:val="32"/>
          <w:szCs w:val="32"/>
        </w:rPr>
      </w:pPr>
      <w:r>
        <w:rPr>
          <w:rFonts w:eastAsia="黑体"/>
          <w:sz w:val="32"/>
          <w:szCs w:val="32"/>
        </w:rPr>
        <w:t>国有资本经营预算支出情况</w:t>
      </w:r>
    </w:p>
    <w:p>
      <w:pPr>
        <w:spacing w:line="600" w:lineRule="exact"/>
        <w:ind w:left="640"/>
        <w:rPr>
          <w:rFonts w:eastAsia="黑体"/>
          <w:sz w:val="32"/>
          <w:szCs w:val="32"/>
        </w:rPr>
      </w:pPr>
      <w:r>
        <w:rPr>
          <w:rFonts w:hint="eastAsia" w:eastAsia="黑体"/>
          <w:sz w:val="32"/>
          <w:szCs w:val="32"/>
        </w:rPr>
        <w:t>无</w:t>
      </w:r>
    </w:p>
    <w:p>
      <w:pPr>
        <w:numPr>
          <w:ilvl w:val="0"/>
          <w:numId w:val="3"/>
        </w:numPr>
        <w:spacing w:line="600" w:lineRule="exact"/>
        <w:ind w:firstLine="640"/>
        <w:rPr>
          <w:rFonts w:eastAsia="黑体"/>
          <w:sz w:val="32"/>
          <w:szCs w:val="32"/>
        </w:rPr>
      </w:pPr>
      <w:r>
        <w:rPr>
          <w:rFonts w:eastAsia="黑体"/>
          <w:sz w:val="32"/>
          <w:szCs w:val="32"/>
        </w:rPr>
        <w:t>社会保险基金预算支出情况</w:t>
      </w:r>
    </w:p>
    <w:p>
      <w:pPr>
        <w:spacing w:line="600" w:lineRule="exact"/>
        <w:ind w:left="640"/>
        <w:rPr>
          <w:rFonts w:eastAsia="黑体"/>
          <w:sz w:val="32"/>
          <w:szCs w:val="32"/>
        </w:rPr>
      </w:pPr>
      <w:r>
        <w:rPr>
          <w:rFonts w:hint="eastAsia" w:eastAsia="黑体"/>
          <w:sz w:val="32"/>
          <w:szCs w:val="32"/>
        </w:rPr>
        <w:t>无</w:t>
      </w:r>
    </w:p>
    <w:p>
      <w:pPr>
        <w:spacing w:line="600" w:lineRule="exact"/>
        <w:ind w:firstLine="640" w:firstLineChars="200"/>
        <w:rPr>
          <w:rFonts w:eastAsia="黑体"/>
          <w:sz w:val="32"/>
          <w:szCs w:val="32"/>
        </w:rPr>
      </w:pPr>
      <w:r>
        <w:rPr>
          <w:rFonts w:eastAsia="黑体"/>
          <w:sz w:val="32"/>
          <w:szCs w:val="32"/>
        </w:rPr>
        <w:t>六、部门整体支出绩效情况</w:t>
      </w:r>
    </w:p>
    <w:p>
      <w:pPr>
        <w:pStyle w:val="5"/>
        <w:widowControl/>
        <w:shd w:val="clear" w:color="auto" w:fill="FFFFFF"/>
        <w:spacing w:beforeAutospacing="0" w:afterAutospacing="0" w:line="560" w:lineRule="exact"/>
        <w:ind w:firstLine="420"/>
        <w:textAlignment w:val="center"/>
        <w:rPr>
          <w:rFonts w:eastAsia="仿宋_GB2312"/>
          <w:color w:val="000000"/>
          <w:sz w:val="32"/>
          <w:szCs w:val="32"/>
        </w:rPr>
      </w:pPr>
      <w:r>
        <w:rPr>
          <w:rFonts w:hint="eastAsia" w:eastAsia="仿宋_GB2312"/>
          <w:color w:val="000000"/>
          <w:sz w:val="32"/>
          <w:szCs w:val="32"/>
        </w:rPr>
        <w:t>（一）绩效评价分析</w:t>
      </w:r>
      <w:bookmarkStart w:id="0" w:name="_Toc2066"/>
    </w:p>
    <w:p>
      <w:pPr>
        <w:pStyle w:val="5"/>
        <w:widowControl/>
        <w:shd w:val="clear" w:color="auto" w:fill="FFFFFF"/>
        <w:spacing w:beforeAutospacing="0" w:afterAutospacing="0" w:line="560" w:lineRule="exact"/>
        <w:ind w:firstLine="420"/>
        <w:textAlignment w:val="center"/>
        <w:rPr>
          <w:rFonts w:eastAsia="仿宋_GB2312"/>
          <w:color w:val="000000"/>
          <w:kern w:val="2"/>
          <w:sz w:val="32"/>
          <w:szCs w:val="32"/>
        </w:rPr>
      </w:pPr>
      <w:r>
        <w:rPr>
          <w:rFonts w:hint="eastAsia" w:eastAsia="仿宋_GB2312"/>
          <w:color w:val="000000"/>
          <w:kern w:val="2"/>
          <w:sz w:val="32"/>
          <w:szCs w:val="32"/>
        </w:rPr>
        <w:t>1</w:t>
      </w:r>
      <w:bookmarkEnd w:id="0"/>
      <w:r>
        <w:rPr>
          <w:rFonts w:hint="eastAsia" w:eastAsia="仿宋_GB2312"/>
          <w:color w:val="000000"/>
          <w:kern w:val="2"/>
          <w:sz w:val="32"/>
          <w:szCs w:val="32"/>
        </w:rPr>
        <w:t>、投入（各项指标得分情况和绩效分析）</w:t>
      </w:r>
    </w:p>
    <w:p>
      <w:pPr>
        <w:pStyle w:val="5"/>
        <w:widowControl/>
        <w:shd w:val="clear" w:color="auto" w:fill="FFFFFF"/>
        <w:spacing w:beforeAutospacing="0" w:afterAutospacing="0" w:line="560" w:lineRule="exact"/>
        <w:ind w:firstLine="420"/>
        <w:textAlignment w:val="center"/>
        <w:rPr>
          <w:rFonts w:eastAsia="仿宋_GB2312"/>
          <w:color w:val="000000"/>
          <w:kern w:val="2"/>
          <w:sz w:val="32"/>
          <w:szCs w:val="32"/>
        </w:rPr>
      </w:pPr>
      <w:r>
        <w:rPr>
          <w:rFonts w:hint="eastAsia" w:eastAsia="仿宋_GB2312"/>
          <w:color w:val="000000"/>
          <w:kern w:val="2"/>
          <w:sz w:val="32"/>
          <w:szCs w:val="32"/>
        </w:rPr>
        <w:t>（1）目标设定</w:t>
      </w:r>
    </w:p>
    <w:p>
      <w:pPr>
        <w:pStyle w:val="5"/>
        <w:widowControl/>
        <w:shd w:val="clear" w:color="auto" w:fill="FFFFFF"/>
        <w:spacing w:beforeAutospacing="0" w:afterAutospacing="0" w:line="560" w:lineRule="exact"/>
        <w:ind w:firstLine="420"/>
        <w:textAlignment w:val="center"/>
        <w:rPr>
          <w:rFonts w:eastAsia="仿宋_GB2312"/>
          <w:color w:val="000000"/>
          <w:kern w:val="2"/>
          <w:sz w:val="32"/>
          <w:szCs w:val="32"/>
        </w:rPr>
      </w:pPr>
      <w:r>
        <w:rPr>
          <w:rFonts w:hint="eastAsia" w:eastAsia="仿宋_GB2312"/>
          <w:color w:val="000000"/>
          <w:kern w:val="2"/>
          <w:sz w:val="32"/>
          <w:szCs w:val="32"/>
        </w:rPr>
        <w:t>①绩效目标合理性（3分）：本单位2020年的绩效目标符合国家法律法规、国民经济和社会发展总体规划；符合“三定”方案确定的职责；符合本单位制定的中长期实施规划。根据评价标准该项得满分3分。</w:t>
      </w:r>
    </w:p>
    <w:p>
      <w:pPr>
        <w:pStyle w:val="5"/>
        <w:widowControl/>
        <w:shd w:val="clear" w:color="auto" w:fill="FFFFFF"/>
        <w:spacing w:beforeAutospacing="0" w:afterAutospacing="0" w:line="560" w:lineRule="exact"/>
        <w:ind w:firstLine="420"/>
        <w:textAlignment w:val="center"/>
        <w:rPr>
          <w:rFonts w:eastAsia="仿宋_GB2312"/>
          <w:color w:val="000000"/>
          <w:sz w:val="32"/>
          <w:szCs w:val="32"/>
        </w:rPr>
      </w:pPr>
      <w:bookmarkStart w:id="1" w:name="_Toc20756491"/>
      <w:bookmarkEnd w:id="1"/>
      <w:bookmarkStart w:id="2" w:name="_Toc21503248"/>
      <w:bookmarkEnd w:id="2"/>
      <w:bookmarkStart w:id="3" w:name="_Toc20756665"/>
      <w:bookmarkEnd w:id="3"/>
      <w:bookmarkStart w:id="4" w:name="_Toc20492946"/>
      <w:r>
        <w:rPr>
          <w:rFonts w:hint="eastAsia" w:eastAsia="仿宋_GB2312"/>
          <w:color w:val="000000"/>
          <w:kern w:val="2"/>
          <w:sz w:val="32"/>
          <w:szCs w:val="32"/>
        </w:rPr>
        <w:t>②绩效指标明确性（</w:t>
      </w:r>
      <w:bookmarkEnd w:id="4"/>
      <w:r>
        <w:rPr>
          <w:rFonts w:hint="eastAsia" w:eastAsia="仿宋_GB2312"/>
          <w:color w:val="000000"/>
          <w:kern w:val="2"/>
          <w:sz w:val="32"/>
          <w:szCs w:val="32"/>
        </w:rPr>
        <w:t>3分）：本单位2020年度的绩效指标清晰、细化、可衡量，与部门年度的任务数相对应，并与本年度部门预算资金相匹配。根据评价标准该项得满分3分。</w:t>
      </w:r>
    </w:p>
    <w:p>
      <w:pPr>
        <w:spacing w:line="600" w:lineRule="exact"/>
        <w:rPr>
          <w:rFonts w:eastAsia="仿宋_GB2312"/>
          <w:color w:val="000000"/>
          <w:sz w:val="32"/>
          <w:szCs w:val="32"/>
        </w:rPr>
      </w:pPr>
      <w:r>
        <w:rPr>
          <w:rFonts w:hint="eastAsia" w:eastAsia="仿宋_GB2312"/>
          <w:color w:val="000000"/>
          <w:sz w:val="32"/>
          <w:szCs w:val="32"/>
        </w:rPr>
        <w:t xml:space="preserve">    （1）预算配置</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①在职人员控制率（3分）：本单位2020年年末编制人数为52人，实际在编在职人员为49人，实际在职人员数占编制数的比率＝（在职人员数÷编制数）×100%＝94.23%，根据评价标准该项指标得满分3分。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② “三公经费”变动率（4分）：本单位2020年度预算安排“三公经费”总额为</w:t>
      </w:r>
      <w:r>
        <w:rPr>
          <w:rFonts w:hint="eastAsia" w:eastAsia="仿宋_GB2312"/>
          <w:color w:val="000000" w:themeColor="text1"/>
          <w:sz w:val="32"/>
          <w:szCs w:val="32"/>
        </w:rPr>
        <w:t>2</w:t>
      </w:r>
      <w:r>
        <w:rPr>
          <w:rFonts w:hint="eastAsia" w:eastAsia="仿宋_GB2312"/>
          <w:color w:val="000000"/>
          <w:sz w:val="32"/>
          <w:szCs w:val="32"/>
        </w:rPr>
        <w:t>万元， 2019年度预算安排的“三公经费”总额为10.28万元。“三公经费”变动率＝（本年度“三公经费”预算数－上年度“三公经费”预算数）÷上年度“三公经费”预算数＝-80.54%&lt;0。根据评价标准该项得满分4分。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（2）预算执行情况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①预算完成率（5分）：本单位上年结转和结余530.03万元，2020年年初预算2058.47万元，本年追加预算-82.20万元，年末结转和结余461.06万元，本单位预算完成率＝（上年结转+年初预算+本年追加预算－年末结余）÷（上年结转+年初预算+本年追加预算）×100%=81.60%，根据评分标准，本单位该项指标得4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②预算控制率（5分）：本单位2020年预算追加-82.20万元，年初预算为2058.47万元预算控制率＝（本年预算追加数÷年初预算）×100%＝-0.04%，根据评分标准，该项指标得分5分。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③新建楼堂馆所面积控制率（1分）：2020年本单位无完工的新建楼堂馆所，根据评分标准，该项指标得满分1分。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④新建楼堂馆所投资概算控制率（1分）：2020年本单位无完工的新建楼堂馆所，根据评分标准，该项指标得满分1分。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（3）预算管理情况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①公用经费控制率（8分）：2020年度本单位公用经费支出182.50万元，年初预算安排公用经费为152.00万元，本单位公用经费控制率＝（实际支出公用经费总额÷预算安排公用经费总额）×100%＝120%，根据评分标准，该项指标得分应为6分，但考虑到本单位公用经费年初结转结余及本年预算增加，公用经费未超支，因此该项指标作满分8分计算，不作扣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② “三公经费”控制率（8分）：2020年度本单位“三公经费”实际支出数为1.9万元（公务接待费1.9万元），“三公经费”年初预算数为2万元，本单位“三公经费”控制率＝（“三公经费”实际支出数÷“三公经费”预算安排数）×100%＝95.00%&lt;100%，根据评分标准，该项指标得满分8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③政府采购执行率（6分）：2020年度本单位政府采购预算数为0万元，政府采购支出决算数为0万元，根据评分标准，本部门该项指标作评分6分。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④管理制度健全性（8分）：本单位建立有或参照执行湘西经开区各项管理制度，有机关财务管理制度，有财政局财政收支管理办法和财务报账须知事项，有经开区管委会国库集中支付部门(单位)财务管理办法和机关作风纪律管理办法等相关规定，相关管理制度合法、合规、完整，相关管理制度得到有效执行，根据评分标准，该项指标得分8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⑤资金使用合规性（6分）：本单位支出符合国家财经法规和财务管理制度规定以及有关专项资金管理办法的规定，资金的拨付有完整的审批程序和手续，支出符合部门预算批复的用途，资金使用无截留、挤占、挪用、虚列支出等情况，根据评分标准，该项指标得满分6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⑥预决算信息公开性（5分）：本单位对2020年度的部门预决算和“三公经费”预决算情况已按财政相关要求在湖南湘西经济开发区网站上进行公开，本单位基础数据信息和会计信息资料真实、完整，基础数据信息和汇集信息资料准确。根据评分标准，该项指标得满分5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（4）资产管理情况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①资产管理制度健全性（2分）：本单位为加强资产管理、规范资产管理行为，制定了合法、合规、完整的资产管理制度，相关资产管理制度得到有效执行，促进了职责履行和绩效目标任务完成。根据评分标准，本单位该项指标得2分 。</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②资产管理安全性（3分）：本单位的资产保存完整、使用合规、配置合理、处置规范、收入及时足额上缴，资产账务管理合规，账实相符。根据评分标准，本单位该项指标得3分 。</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③固定资产利用率（3分）：本单位2020年实际在用固定资产总额为3,221.67万元（指原值，已提折旧661.57万元，固定资产净值2,560.10万元），所有固定资产总额为3,194.22万元，固定资产利用率=（实际在用固定资产总额/所有固定资产总额）×100%=100%，根据评分标准，本单位该项指标得3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 xml:space="preserve"> 3、产出及效率（各项指标得分情况和绩效分析）</w:t>
      </w:r>
    </w:p>
    <w:p>
      <w:pPr>
        <w:spacing w:line="600" w:lineRule="exact"/>
        <w:ind w:firstLine="640" w:firstLineChars="200"/>
        <w:rPr>
          <w:rFonts w:eastAsia="仿宋_GB2312"/>
          <w:color w:val="000000"/>
          <w:sz w:val="32"/>
          <w:szCs w:val="32"/>
        </w:rPr>
      </w:pPr>
      <w:r>
        <w:rPr>
          <w:rFonts w:hint="eastAsia" w:eastAsia="仿宋_GB2312"/>
          <w:color w:val="000000"/>
          <w:sz w:val="32"/>
          <w:szCs w:val="32"/>
        </w:rPr>
        <w:t>（1）职责履行情况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重点工作完成率（8分）：根据《湘西经开区管理委员会办公室关于湘西经开区2020年度绩效目标管理等工作考核评估情况的通报》，本单位2020年度绩效目标考核结果为98分。该项指标得分=（绩效办对应部分考核得分/100)*8=7.84，根据评分标准，该项指标得分7.84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（2）履职效益</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①经济效益和社会效益（6分）：2020年度本单位疫情发生以来，吉凤街道上下切实提高政治站位，主动扛起防控大旗，不惧风险、逆行而上，慎终如始奋战在抗击疫情最前线，确保各项防控举措抓实抓细。一是织密防控网络。街道、社区干部全员上阵，通过“一个小分队、一顶帐篷、一张桌子、一叠宣传资料、一本登记册、一把体温枪”，设立卡点25个，严格人员出入管理；累计发放宣传资料20000余份，入户5966户17200余人，排查“四类对象”152人。二是温情跟踪服务。按照“3+1”分类处置流程，全流程提供人文关怀，累计派出干部90人·次，完成居家隔离对象55人，跟踪管理对象48人；为隔离人员解决生活物资困难35次。三是防范疫情输入。不断强化日常监管和疫情防控工作力度，筑牢疫情输入风险，联合交警、执法大队、卫生防疫等部门，在进入湘西高新区的主要路口设立检查点，派出干部昼夜值班，对进入湘西高新区的冷链食品运输车辆进行严格检查；对辖区所有超市、宾馆、餐饮、烧烤店等单位开展全方位、无死角的全面排查。通过“硬核”举措、“温情”管理，筑牢了疫情防控“铜墙铁壁”，为州府南大门疫情零输入作出积极贡献。</w:t>
      </w:r>
    </w:p>
    <w:p>
      <w:pPr>
        <w:spacing w:line="600" w:lineRule="exact"/>
        <w:ind w:firstLine="640" w:firstLineChars="200"/>
        <w:rPr>
          <w:rFonts w:eastAsia="仿宋_GB2312"/>
          <w:color w:val="000000"/>
          <w:sz w:val="32"/>
          <w:szCs w:val="32"/>
        </w:rPr>
      </w:pPr>
      <w:r>
        <w:rPr>
          <w:rFonts w:hint="eastAsia" w:eastAsia="仿宋_GB2312"/>
          <w:color w:val="000000"/>
          <w:sz w:val="32"/>
          <w:szCs w:val="32"/>
        </w:rPr>
        <w:t>按照征拆围绕项目走的要求，精心安排，挂图作战，倒排工期，任务到组、责任到人，全面实行“一周一通报、一月一考核、一月一结算”，倒逼征拆干部积极性，确保重点项目加速推进，上级督办任务按期清零。敢于较真碰硬。在征拆工作任务落实中，坚持“阳光征拆”理念不动摇，上门入户大打“亲情牌”、“感情牌”、“知心牌”，将政策用足用好，攻城拔寨“红脸”、“白脸”、“黑脸”交叉唱，对“钉子户”实行“一户一策”，将底线坚决亮明。抢抓殡改机遇。结合吉首地区殡葬改革之机，紧紧抓住重点项目内迁坟重点难点问题，街道、社区两级党员干部联动，逐户做工作、讲政策，全面发动居民迁坟，确保殡葬改革政策家喻户晓、深入人心，得到居民的普遍认可。双河特色街区一期、文化景观轴、湾溪城中村改造、兴隆陵园路、木林坪特色街区、木林坪保障房、吉凤山生态公园、高新区停车场、双河小宗地、吉凤森林城市、消防四合一11个项目顺利清零。全年区内完成房屋拆迁56栋，迁坟350余冢，征地380余亩，阻碍各重点项目的征拆重点、难点陆续取得突破。因此，根据评分标准，该项指标得满分6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②行政效能（6分）：本单位通过不断改善行政管理，加强制度体系建设，改进了文风会风，精简会议、文件，加强经费及资产管理，积极推动政务公开，行政效率提高， “三公经费”实际开支比2019年实际及比本年预算均有所节约。因此，根据评分标准，该项指标得满分6分。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③社会公众或服务对象满意度（6分）：本次绩效自评，我们向社会公众、服务对象、本单位内部员工发放问卷调查90份，从收回的问卷调查了解，社会公众、服务对象对本单位的工作现状评价，深入基层调查研究，掌握真实、准确情况，解决群众问题、促进社会经济发展，服务态度，依法办事、依法行政、杜绝不作为和乱作为，改革和完善机关办事制度，缩短办事时间、提高工作效率，实施信息公开，厉行节约、制止奢侈浪费行为等各方面均给予了满意的评价，满意度为98%，因此，根据评分标准，本单位该项指标得满分6分。</w:t>
      </w:r>
    </w:p>
    <w:p>
      <w:pPr>
        <w:numPr>
          <w:ilvl w:val="0"/>
          <w:numId w:val="4"/>
        </w:numPr>
        <w:spacing w:line="600" w:lineRule="exact"/>
        <w:ind w:firstLine="640" w:firstLineChars="200"/>
        <w:rPr>
          <w:rFonts w:ascii="黑体" w:hAnsi="黑体" w:eastAsia="黑体"/>
          <w:sz w:val="32"/>
          <w:szCs w:val="32"/>
        </w:rPr>
      </w:pPr>
      <w:r>
        <w:rPr>
          <w:rFonts w:hint="eastAsia" w:ascii="黑体" w:hAnsi="黑体" w:eastAsia="黑体"/>
          <w:sz w:val="32"/>
          <w:szCs w:val="32"/>
        </w:rPr>
        <w:t>综合评价情况及评价结论</w:t>
      </w:r>
    </w:p>
    <w:p>
      <w:pPr>
        <w:spacing w:line="600" w:lineRule="exact"/>
        <w:ind w:firstLine="640" w:firstLineChars="200"/>
        <w:rPr>
          <w:rFonts w:eastAsia="仿宋_GB2312"/>
          <w:color w:val="000000"/>
          <w:sz w:val="32"/>
          <w:szCs w:val="32"/>
        </w:rPr>
      </w:pPr>
      <w:r>
        <w:rPr>
          <w:rFonts w:hint="eastAsia" w:eastAsia="仿宋_GB2312"/>
          <w:color w:val="000000"/>
          <w:sz w:val="32"/>
          <w:szCs w:val="32"/>
        </w:rPr>
        <w:t>根据部门整体支出绩效评价指标体系规定的内容，经对各项指标进行评分，本单位2020年度部门整体支出绩效评价评价得分为98.84分，绩效评价等级为“优”。</w:t>
      </w:r>
    </w:p>
    <w:p>
      <w:pPr>
        <w:adjustRightInd w:val="0"/>
        <w:snapToGrid w:val="0"/>
        <w:spacing w:line="600" w:lineRule="exact"/>
        <w:ind w:firstLine="640" w:firstLineChars="200"/>
        <w:rPr>
          <w:rFonts w:eastAsia="黑体"/>
          <w:sz w:val="32"/>
          <w:szCs w:val="32"/>
        </w:rPr>
      </w:pPr>
      <w:r>
        <w:rPr>
          <w:rFonts w:hint="eastAsia" w:eastAsia="黑体"/>
          <w:sz w:val="32"/>
          <w:szCs w:val="32"/>
        </w:rPr>
        <w:t>八</w:t>
      </w:r>
      <w:r>
        <w:rPr>
          <w:rFonts w:eastAsia="黑体"/>
          <w:sz w:val="32"/>
          <w:szCs w:val="32"/>
        </w:rPr>
        <w:t>、主要经验做法、存在的问题及原因分析</w:t>
      </w:r>
    </w:p>
    <w:p>
      <w:pPr>
        <w:adjustRightInd w:val="0"/>
        <w:snapToGrid w:val="0"/>
        <w:spacing w:line="600" w:lineRule="exact"/>
        <w:ind w:firstLine="640" w:firstLineChars="200"/>
        <w:rPr>
          <w:rFonts w:eastAsia="黑体"/>
          <w:sz w:val="32"/>
          <w:szCs w:val="32"/>
        </w:rPr>
      </w:pPr>
      <w:r>
        <w:rPr>
          <w:rFonts w:hint="eastAsia" w:eastAsia="黑体"/>
          <w:sz w:val="32"/>
          <w:szCs w:val="32"/>
        </w:rPr>
        <w:t>（一）存在绩效问题</w:t>
      </w:r>
    </w:p>
    <w:p>
      <w:pPr>
        <w:spacing w:line="600" w:lineRule="exact"/>
        <w:ind w:firstLine="640" w:firstLineChars="200"/>
        <w:rPr>
          <w:rFonts w:eastAsia="仿宋_GB2312"/>
          <w:color w:val="000000"/>
          <w:sz w:val="32"/>
          <w:szCs w:val="32"/>
        </w:rPr>
      </w:pPr>
      <w:r>
        <w:rPr>
          <w:rFonts w:hint="eastAsia" w:eastAsia="仿宋_GB2312"/>
          <w:color w:val="000000"/>
          <w:sz w:val="32"/>
          <w:szCs w:val="32"/>
        </w:rPr>
        <w:t>1、预算完成率偏低，预算完成率为81.60%，年末结转和结余为461.06万元，期末存量资金较大。</w:t>
      </w:r>
    </w:p>
    <w:p>
      <w:pPr>
        <w:spacing w:line="600" w:lineRule="exact"/>
        <w:ind w:firstLine="640" w:firstLineChars="200"/>
        <w:rPr>
          <w:rFonts w:eastAsia="仿宋_GB2312"/>
          <w:color w:val="000000"/>
          <w:sz w:val="32"/>
          <w:szCs w:val="32"/>
        </w:rPr>
      </w:pPr>
      <w:r>
        <w:rPr>
          <w:rFonts w:hint="eastAsia" w:eastAsia="仿宋_GB2312"/>
          <w:color w:val="000000"/>
          <w:sz w:val="32"/>
          <w:szCs w:val="32"/>
        </w:rPr>
        <w:t>2、本单位在经开区2020年度绩效目标任务考核中，考核得分为98.84分，虽已取得了很好的成绩，但年初绩效目标任务中亦有少量指标未100%完成。</w:t>
      </w:r>
    </w:p>
    <w:p>
      <w:pPr>
        <w:adjustRightInd w:val="0"/>
        <w:snapToGrid w:val="0"/>
        <w:spacing w:line="600" w:lineRule="exact"/>
        <w:ind w:firstLine="640" w:firstLineChars="200"/>
        <w:rPr>
          <w:rFonts w:eastAsia="黑体"/>
          <w:sz w:val="32"/>
          <w:szCs w:val="32"/>
        </w:rPr>
      </w:pPr>
      <w:r>
        <w:rPr>
          <w:rFonts w:hint="eastAsia" w:eastAsia="黑体"/>
          <w:sz w:val="32"/>
          <w:szCs w:val="32"/>
        </w:rPr>
        <w:t>（二）改进措施</w:t>
      </w:r>
    </w:p>
    <w:p>
      <w:pPr>
        <w:spacing w:line="600" w:lineRule="exact"/>
        <w:ind w:firstLine="640" w:firstLineChars="200"/>
        <w:rPr>
          <w:rFonts w:eastAsia="仿宋_GB2312"/>
          <w:color w:val="000000"/>
          <w:sz w:val="32"/>
          <w:szCs w:val="32"/>
        </w:rPr>
      </w:pPr>
      <w:r>
        <w:rPr>
          <w:rFonts w:hint="eastAsia" w:eastAsia="仿宋_GB2312"/>
          <w:color w:val="000000"/>
          <w:sz w:val="32"/>
          <w:szCs w:val="32"/>
        </w:rPr>
        <w:t>1、强化预算执行，提高预算完成率。严格按项目和进度执行预算，增强预算的约束力和严肃性；完善项目责任制，业务科室为项目实施责任单位，应加强与财务部门的沟通协调和项目实施，加快预算的执行进度，减少存量资金；定期做好预算执行分析，及时了解预算执行差异，合理调整、纠正预算执行偏差，切实提高预算完成率，提高财政资金使用效益。</w:t>
      </w:r>
    </w:p>
    <w:p>
      <w:pPr>
        <w:spacing w:line="600" w:lineRule="exact"/>
        <w:ind w:firstLine="640" w:firstLineChars="200"/>
        <w:rPr>
          <w:rFonts w:eastAsia="仿宋_GB2312"/>
          <w:color w:val="000000"/>
          <w:sz w:val="32"/>
          <w:szCs w:val="32"/>
        </w:rPr>
      </w:pPr>
      <w:r>
        <w:rPr>
          <w:rFonts w:hint="eastAsia" w:eastAsia="仿宋_GB2312"/>
          <w:color w:val="000000"/>
          <w:sz w:val="32"/>
          <w:szCs w:val="32"/>
        </w:rPr>
        <w:t>2、加强预算编制科学性，年初编制预算时，要坚持实事求是，切实做到不少报、不漏报、不估报，部门各项收入要参照历年实际收入情况和下年度收入增减变动因素，按不同的收入来源，采取科学的方法进行测算，以减少预算调整数。</w:t>
      </w:r>
    </w:p>
    <w:p>
      <w:pPr>
        <w:spacing w:line="600" w:lineRule="exact"/>
        <w:ind w:firstLine="640" w:firstLineChars="200"/>
        <w:rPr>
          <w:rFonts w:eastAsia="仿宋_GB2312"/>
          <w:color w:val="000000"/>
          <w:sz w:val="32"/>
          <w:szCs w:val="32"/>
        </w:rPr>
      </w:pPr>
      <w:r>
        <w:rPr>
          <w:rFonts w:hint="eastAsia" w:eastAsia="仿宋_GB2312"/>
          <w:color w:val="000000"/>
          <w:sz w:val="32"/>
          <w:szCs w:val="32"/>
        </w:rPr>
        <w:t>3、科学合理编制政府采购预算，强化政府采购预算执行，确保政府采购预算切合单位实际。</w:t>
      </w:r>
    </w:p>
    <w:p>
      <w:pPr>
        <w:spacing w:line="600" w:lineRule="exact"/>
        <w:ind w:firstLine="640" w:firstLineChars="200"/>
        <w:rPr>
          <w:rFonts w:eastAsia="仿宋_GB2312"/>
          <w:color w:val="000000"/>
          <w:sz w:val="32"/>
          <w:szCs w:val="32"/>
        </w:rPr>
      </w:pPr>
      <w:r>
        <w:rPr>
          <w:rFonts w:hint="eastAsia" w:eastAsia="仿宋_GB2312"/>
          <w:color w:val="000000"/>
          <w:sz w:val="32"/>
          <w:szCs w:val="32"/>
        </w:rPr>
        <w:t>4、根据年初经开区下达的的绩效目标任务及预算绩效目标，扎实推进相关工作，确保绩效目标任务及预算绩效目标按时、优质完成。</w:t>
      </w:r>
    </w:p>
    <w:p>
      <w:pPr>
        <w:adjustRightInd w:val="0"/>
        <w:snapToGrid w:val="0"/>
        <w:spacing w:line="600" w:lineRule="exact"/>
        <w:ind w:firstLine="640" w:firstLineChars="200"/>
        <w:rPr>
          <w:rFonts w:eastAsia="黑体"/>
          <w:sz w:val="32"/>
          <w:szCs w:val="32"/>
        </w:rPr>
      </w:pPr>
      <w:r>
        <w:rPr>
          <w:rFonts w:hint="eastAsia" w:eastAsia="黑体"/>
          <w:sz w:val="32"/>
          <w:szCs w:val="32"/>
        </w:rPr>
        <w:t>九</w:t>
      </w:r>
      <w:r>
        <w:rPr>
          <w:rFonts w:eastAsia="黑体"/>
          <w:sz w:val="32"/>
          <w:szCs w:val="32"/>
        </w:rPr>
        <w:t>、有关建议</w:t>
      </w:r>
    </w:p>
    <w:p>
      <w:pPr>
        <w:spacing w:line="600" w:lineRule="exact"/>
        <w:ind w:firstLine="640" w:firstLineChars="200"/>
        <w:rPr>
          <w:rFonts w:eastAsia="仿宋_GB2312"/>
          <w:color w:val="000000"/>
          <w:sz w:val="32"/>
          <w:szCs w:val="32"/>
        </w:rPr>
      </w:pPr>
      <w:r>
        <w:rPr>
          <w:rFonts w:hint="eastAsia" w:eastAsia="仿宋_GB2312"/>
          <w:color w:val="000000"/>
          <w:sz w:val="32"/>
          <w:szCs w:val="32"/>
        </w:rPr>
        <w:t>州财政局继续加强对各部门申报项目的指导，使项目编制更加符合绩效评价相关要求，适时开展培训，提高各部门、实施单位对专项资金使用绩效评价工作，重要意义的认识，牢固树立绩效管理理念，同时进一步提高绩效评价工作方式、方法，将已完成的所有工作绩效成果充分体现出来。</w:t>
      </w:r>
    </w:p>
    <w:p>
      <w:pPr>
        <w:spacing w:line="600" w:lineRule="exact"/>
        <w:ind w:firstLine="640" w:firstLineChars="200"/>
        <w:rPr>
          <w:rFonts w:eastAsia="黑体"/>
          <w:sz w:val="32"/>
          <w:szCs w:val="32"/>
        </w:rPr>
      </w:pPr>
      <w:r>
        <w:rPr>
          <w:rFonts w:hint="eastAsia" w:eastAsia="黑体"/>
          <w:sz w:val="32"/>
          <w:szCs w:val="32"/>
        </w:rPr>
        <w:t>十</w:t>
      </w:r>
      <w:r>
        <w:rPr>
          <w:rFonts w:eastAsia="黑体"/>
          <w:sz w:val="32"/>
          <w:szCs w:val="32"/>
        </w:rPr>
        <w:t>、绩效自评结果拟应用和公开情况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本绩效评价完成后，绩效自评结果将在本单位网站上进行信息公开，接受社会监督。</w:t>
      </w:r>
    </w:p>
    <w:p>
      <w:pPr>
        <w:numPr>
          <w:ilvl w:val="0"/>
          <w:numId w:val="5"/>
        </w:numPr>
        <w:adjustRightInd w:val="0"/>
        <w:snapToGrid w:val="0"/>
        <w:spacing w:line="600" w:lineRule="exact"/>
        <w:ind w:firstLine="640" w:firstLineChars="200"/>
        <w:rPr>
          <w:rFonts w:eastAsia="黑体"/>
          <w:sz w:val="32"/>
          <w:szCs w:val="32"/>
        </w:rPr>
      </w:pPr>
      <w:r>
        <w:rPr>
          <w:rFonts w:eastAsia="黑体"/>
          <w:sz w:val="32"/>
          <w:szCs w:val="32"/>
        </w:rPr>
        <w:t>其他需要说明的问题</w:t>
      </w:r>
    </w:p>
    <w:p>
      <w:pPr>
        <w:spacing w:line="600" w:lineRule="exact"/>
        <w:ind w:firstLine="640" w:firstLineChars="200"/>
        <w:rPr>
          <w:rFonts w:eastAsia="仿宋_GB2312"/>
          <w:color w:val="000000"/>
          <w:sz w:val="32"/>
          <w:szCs w:val="32"/>
        </w:rPr>
      </w:pPr>
      <w:r>
        <w:rPr>
          <w:rFonts w:hint="eastAsia" w:eastAsia="仿宋_GB2312"/>
          <w:color w:val="000000"/>
          <w:sz w:val="32"/>
          <w:szCs w:val="32"/>
        </w:rPr>
        <w:t>在职人员控制率计算，在职人员数系以在编在职人员数计算，未包含其他人员114人（财政拨款补助开支人员）。</w:t>
      </w:r>
    </w:p>
    <w:p>
      <w:pPr>
        <w:spacing w:line="600" w:lineRule="exact"/>
        <w:ind w:firstLine="640" w:firstLineChars="200"/>
        <w:rPr>
          <w:rFonts w:eastAsia="仿宋_GB2312"/>
          <w:color w:val="000000"/>
          <w:sz w:val="32"/>
          <w:szCs w:val="32"/>
        </w:rPr>
      </w:pPr>
    </w:p>
    <w:p>
      <w:pPr>
        <w:spacing w:line="600" w:lineRule="exact"/>
        <w:rPr>
          <w:rFonts w:eastAsia="仿宋_GB2312"/>
          <w:sz w:val="32"/>
          <w:szCs w:val="32"/>
        </w:rPr>
      </w:pPr>
    </w:p>
    <w:p>
      <w:pPr>
        <w:spacing w:line="600" w:lineRule="exact"/>
        <w:rPr>
          <w:rFonts w:eastAsia="仿宋_GB2312"/>
          <w:sz w:val="32"/>
          <w:szCs w:val="32"/>
        </w:rPr>
      </w:pPr>
    </w:p>
    <w:p>
      <w:pPr>
        <w:tabs>
          <w:tab w:val="left" w:pos="1762"/>
        </w:tabs>
        <w:spacing w:line="600" w:lineRule="exact"/>
        <w:rPr>
          <w:rFonts w:eastAsia="仿宋_GB2312"/>
          <w:sz w:val="32"/>
          <w:szCs w:val="32"/>
        </w:rPr>
      </w:pPr>
      <w:r>
        <w:rPr>
          <w:rFonts w:hint="eastAsia" w:eastAsia="仿宋_GB2312"/>
          <w:sz w:val="32"/>
          <w:szCs w:val="32"/>
        </w:rPr>
        <w:tab/>
      </w:r>
    </w:p>
    <w:p>
      <w:pPr>
        <w:tabs>
          <w:tab w:val="left" w:pos="1762"/>
        </w:tabs>
        <w:spacing w:line="600" w:lineRule="exact"/>
        <w:rPr>
          <w:rFonts w:eastAsia="仿宋_GB2312"/>
          <w:sz w:val="32"/>
          <w:szCs w:val="32"/>
        </w:rPr>
      </w:pPr>
    </w:p>
    <w:p>
      <w:pPr>
        <w:spacing w:line="600" w:lineRule="exact"/>
        <w:ind w:firstLine="960" w:firstLineChars="300"/>
        <w:rPr>
          <w:rFonts w:eastAsia="仿宋_GB2312"/>
          <w:sz w:val="32"/>
          <w:szCs w:val="32"/>
        </w:rPr>
      </w:pPr>
    </w:p>
    <w:p>
      <w:pPr>
        <w:spacing w:line="600" w:lineRule="exact"/>
        <w:ind w:firstLine="960" w:firstLineChars="300"/>
        <w:rPr>
          <w:rFonts w:eastAsia="仿宋_GB2312"/>
          <w:sz w:val="32"/>
          <w:szCs w:val="32"/>
        </w:rPr>
      </w:pPr>
    </w:p>
    <w:p>
      <w:pPr>
        <w:spacing w:before="120" w:beforeLines="50" w:after="120" w:afterLines="50"/>
        <w:ind w:right="-76" w:rightChars="-36"/>
        <w:rPr>
          <w:rFonts w:ascii="方正小标宋简体" w:hAnsi="方正小标宋简体" w:eastAsia="方正小标宋简体" w:cs="方正小标宋简体"/>
          <w:sz w:val="36"/>
          <w:szCs w:val="36"/>
        </w:rPr>
      </w:pPr>
    </w:p>
    <w:p>
      <w:pPr>
        <w:spacing w:before="120" w:beforeLines="50" w:after="120" w:afterLines="50"/>
        <w:ind w:leftChars="-46" w:right="-76" w:rightChars="-36" w:hanging="97" w:hangingChars="27"/>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2020年度州级预算部门整体支出绩效自评工作考核</w:t>
      </w:r>
    </w:p>
    <w:p>
      <w:pPr>
        <w:spacing w:before="120" w:beforeLines="50" w:after="120" w:afterLines="50"/>
        <w:ind w:leftChars="-46" w:right="-76" w:rightChars="-36" w:hanging="97" w:hangingChars="27"/>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评分表</w:t>
      </w:r>
    </w:p>
    <w:p>
      <w:pPr>
        <w:jc w:val="center"/>
        <w:rPr>
          <w:rFonts w:ascii="仿宋_GB2312" w:hAnsi="仿宋_GB2312" w:eastAsia="仿宋_GB2312" w:cs="仿宋_GB2312"/>
          <w:sz w:val="36"/>
          <w:szCs w:val="36"/>
        </w:rPr>
      </w:pPr>
      <w:r>
        <w:rPr>
          <w:rFonts w:hint="eastAsia" w:ascii="仿宋_GB2312" w:hAnsi="仿宋_GB2312" w:eastAsia="仿宋_GB2312" w:cs="仿宋_GB2312"/>
          <w:sz w:val="24"/>
        </w:rPr>
        <w:t>州级预算部门名称：                                               编号：</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500"/>
        <w:gridCol w:w="6477"/>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74"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一级指标</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二级指标</w:t>
            </w:r>
          </w:p>
        </w:tc>
        <w:tc>
          <w:tcPr>
            <w:tcW w:w="6477"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评分标准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774" w:type="dxa"/>
            <w:vMerge w:val="restart"/>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布置工作</w:t>
            </w:r>
          </w:p>
          <w:p>
            <w:pPr>
              <w:spacing w:line="260" w:lineRule="exact"/>
              <w:jc w:val="center"/>
              <w:rPr>
                <w:rFonts w:ascii="仿宋_GB2312" w:hAnsi="仿宋_GB2312" w:eastAsia="仿宋_GB2312" w:cs="仿宋_GB2312"/>
              </w:rPr>
            </w:pPr>
          </w:p>
          <w:p>
            <w:pPr>
              <w:spacing w:line="260" w:lineRule="exact"/>
              <w:jc w:val="left"/>
              <w:rPr>
                <w:rFonts w:ascii="仿宋_GB2312" w:hAnsi="仿宋_GB2312" w:eastAsia="仿宋_GB2312" w:cs="仿宋_GB2312"/>
              </w:rPr>
            </w:pPr>
            <w:r>
              <w:rPr>
                <w:rFonts w:hint="eastAsia" w:ascii="仿宋_GB2312" w:hAnsi="仿宋_GB2312" w:eastAsia="仿宋_GB2312" w:cs="仿宋_GB2312"/>
              </w:rPr>
              <w:t>10分</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自评通知</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（8分）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1、印发绩效自评通知的得2分，否则不得分。</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2、按照本规程规定，绩效自评通知包括自评范围、自评主要依据、自评主要内容、自评程序和步骤、有关要求等内容，并附有本规程要求的附件的，得6分；否则缺1项扣1分，最多扣6分。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工作小组</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（2分）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成立绩效自评工作小组的得2分，否则不得分。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774" w:type="dxa"/>
            <w:vMerge w:val="restart"/>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实施评价</w:t>
            </w:r>
          </w:p>
          <w:p>
            <w:pPr>
              <w:spacing w:line="260" w:lineRule="exact"/>
              <w:jc w:val="center"/>
              <w:rPr>
                <w:rFonts w:ascii="仿宋_GB2312" w:hAnsi="仿宋_GB2312" w:eastAsia="仿宋_GB2312" w:cs="仿宋_GB2312"/>
              </w:rPr>
            </w:pP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30分</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单位自查</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（20分）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州级预算部门本级和所属单位都要开展绩效自查，</w:t>
            </w:r>
            <w:r>
              <w:rPr>
                <w:rFonts w:hint="eastAsia" w:ascii="仿宋_GB2312" w:hAnsi="仿宋_GB2312" w:eastAsia="仿宋_GB2312" w:cs="仿宋_GB2312"/>
                <w:szCs w:val="21"/>
              </w:rPr>
              <w:t>填报州级预算部门整体支出绩效评价基础数据表（附件2）、州级预算部门整体支出绩效自评表（附件3）、州级预算部门项目支出绩效自评表（附件4），</w:t>
            </w:r>
            <w:r>
              <w:rPr>
                <w:rFonts w:hint="eastAsia" w:ascii="仿宋_GB2312" w:hAnsi="仿宋_GB2312" w:eastAsia="仿宋_GB2312" w:cs="仿宋_GB2312"/>
              </w:rPr>
              <w:t>转移支付项目单位都要开展绩效自查，县（市）级主管部门都要汇总本区域转移支付情况；以上各项每发现一个单位没有做相应工作的，扣1分，最多扣20分。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提交报告</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（10分）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按时向</w:t>
            </w:r>
            <w:r>
              <w:rPr>
                <w:rFonts w:hint="eastAsia" w:ascii="仿宋_GB2312" w:hAnsi="仿宋_GB2312" w:eastAsia="仿宋_GB2312" w:cs="仿宋_GB2312"/>
                <w:szCs w:val="21"/>
              </w:rPr>
              <w:t>州财政局报送报</w:t>
            </w:r>
            <w:r>
              <w:rPr>
                <w:rFonts w:hint="eastAsia" w:ascii="仿宋_GB2312" w:hAnsi="仿宋_GB2312" w:eastAsia="仿宋_GB2312" w:cs="仿宋_GB2312"/>
              </w:rPr>
              <w:t>告的得10分；每推迟一天报送报告的扣1分，最多扣10分。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74" w:type="dxa"/>
            <w:vMerge w:val="restart"/>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自评报告</w:t>
            </w:r>
          </w:p>
          <w:p>
            <w:pPr>
              <w:spacing w:line="260" w:lineRule="exact"/>
              <w:jc w:val="center"/>
              <w:rPr>
                <w:rFonts w:ascii="仿宋_GB2312" w:hAnsi="仿宋_GB2312" w:eastAsia="仿宋_GB2312" w:cs="仿宋_GB2312"/>
              </w:rPr>
            </w:pP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60分</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自评报告</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的完整性</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1、绩效自评报告正文部分内容齐全的，得8分；否则每少一个部分扣2分，最多扣8分。</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2、绩效自评报告附件部分内容齐全的，得7分；否则每少一个部分扣2分，最多扣7分。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绩效自评表</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1、部门整体支出和项目支出绩效指标反映产出、效益、服务对象满意度方面的指标和预算执行率的权重符合本规程的，得2分，否则按比例扣除相应的分数。</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2、部门整体支出和项目支出绩效指标全部细化到三级指标的，得3分；部分细化的，酌情扣分；没有细化的，不得分。</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3、部门整体支出和项目15支出三级绩效指标内涵明确、具体、可衡量的得5分；突出核心指标，精简实用的得3分；指标与部门整体支出和项目支出密切相关，全面反映产出和效益的得2分；否则每项酌情扣分，最多扣10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绩效评价</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报告总结</w:t>
            </w:r>
          </w:p>
          <w:p>
            <w:pPr>
              <w:spacing w:line="260" w:lineRule="exact"/>
              <w:ind w:left="210" w:hanging="210" w:hangingChars="100"/>
              <w:rPr>
                <w:rFonts w:ascii="仿宋_GB2312" w:hAnsi="仿宋_GB2312" w:eastAsia="仿宋_GB2312" w:cs="仿宋_GB2312"/>
              </w:rPr>
            </w:pPr>
            <w:r>
              <w:rPr>
                <w:rFonts w:hint="eastAsia" w:ascii="仿宋_GB2312" w:hAnsi="仿宋_GB2312" w:eastAsia="仿宋_GB2312" w:cs="仿宋_GB2312"/>
              </w:rPr>
              <w:t xml:space="preserve">  经验做法、         发现存在</w:t>
            </w:r>
          </w:p>
          <w:p>
            <w:pPr>
              <w:spacing w:line="260" w:lineRule="exact"/>
              <w:ind w:left="210" w:leftChars="100"/>
              <w:rPr>
                <w:rFonts w:ascii="仿宋_GB2312" w:hAnsi="仿宋_GB2312" w:eastAsia="仿宋_GB2312" w:cs="仿宋_GB2312"/>
              </w:rPr>
            </w:pPr>
            <w:r>
              <w:rPr>
                <w:rFonts w:hint="eastAsia" w:ascii="仿宋_GB2312" w:hAnsi="仿宋_GB2312" w:eastAsia="仿宋_GB2312" w:cs="仿宋_GB2312"/>
              </w:rPr>
              <w:t>问题</w:t>
            </w:r>
          </w:p>
          <w:p>
            <w:pPr>
              <w:spacing w:line="260" w:lineRule="exact"/>
              <w:ind w:left="210" w:leftChars="100"/>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绩效评价总结经验做法和发现存在问题详实全面的得15分，只提出资金不足问题的不得分；其他情况酌情扣分。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提出可行性建议的情况</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提出可行性建议包含有关政策在内的可行性建议的得15分，只提出加大资金投入建议的不得分；其他情况酌情扣分。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74"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合计</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100分</w:t>
            </w:r>
          </w:p>
        </w:tc>
        <w:tc>
          <w:tcPr>
            <w:tcW w:w="6477" w:type="dxa"/>
            <w:vAlign w:val="center"/>
          </w:tcPr>
          <w:p>
            <w:pPr>
              <w:spacing w:line="260" w:lineRule="exact"/>
              <w:rPr>
                <w:rFonts w:ascii="仿宋_GB2312" w:hAnsi="仿宋_GB2312" w:eastAsia="仿宋_GB2312" w:cs="仿宋_GB2312"/>
              </w:rPr>
            </w:pPr>
          </w:p>
        </w:tc>
        <w:tc>
          <w:tcPr>
            <w:tcW w:w="752" w:type="dxa"/>
            <w:vAlign w:val="center"/>
          </w:tcPr>
          <w:p>
            <w:pPr>
              <w:spacing w:line="260" w:lineRule="exact"/>
              <w:rPr>
                <w:rFonts w:ascii="仿宋_GB2312" w:hAnsi="仿宋_GB2312" w:eastAsia="仿宋_GB2312" w:cs="仿宋_GB2312"/>
              </w:rPr>
            </w:pPr>
            <w:r>
              <w:rPr>
                <w:rFonts w:hint="eastAsia" w:ascii="仿宋_GB2312" w:hAnsi="仿宋_GB2312" w:eastAsia="仿宋_GB2312" w:cs="仿宋_GB2312"/>
              </w:rPr>
              <w:t>　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74" w:type="dxa"/>
            <w:vAlign w:val="center"/>
          </w:tcPr>
          <w:p>
            <w:pPr>
              <w:spacing w:line="260" w:lineRule="exact"/>
              <w:jc w:val="center"/>
              <w:rPr>
                <w:rFonts w:ascii="仿宋_GB2312" w:hAnsi="仿宋_GB2312" w:eastAsia="仿宋_GB2312" w:cs="仿宋_GB2312"/>
              </w:rPr>
            </w:pPr>
          </w:p>
        </w:tc>
        <w:tc>
          <w:tcPr>
            <w:tcW w:w="1500" w:type="dxa"/>
            <w:vAlign w:val="center"/>
          </w:tcPr>
          <w:p>
            <w:pPr>
              <w:tabs>
                <w:tab w:val="left" w:pos="533"/>
              </w:tabs>
              <w:spacing w:line="260" w:lineRule="exact"/>
              <w:jc w:val="left"/>
              <w:rPr>
                <w:rFonts w:ascii="仿宋_GB2312" w:hAnsi="仿宋_GB2312" w:eastAsia="仿宋_GB2312" w:cs="仿宋_GB2312"/>
              </w:rPr>
            </w:pPr>
            <w:r>
              <w:rPr>
                <w:rFonts w:hint="eastAsia" w:ascii="仿宋_GB2312" w:hAnsi="仿宋_GB2312" w:eastAsia="仿宋_GB2312" w:cs="仿宋_GB2312"/>
              </w:rPr>
              <w:t>评分等级</w:t>
            </w:r>
          </w:p>
        </w:tc>
        <w:tc>
          <w:tcPr>
            <w:tcW w:w="6477" w:type="dxa"/>
            <w:vAlign w:val="center"/>
          </w:tcPr>
          <w:p>
            <w:pPr>
              <w:spacing w:line="260" w:lineRule="exact"/>
              <w:rPr>
                <w:rFonts w:ascii="仿宋_GB2312" w:hAnsi="仿宋_GB2312" w:eastAsia="仿宋_GB2312" w:cs="仿宋_GB2312"/>
              </w:rPr>
            </w:pPr>
            <w:r>
              <w:rPr>
                <w:rFonts w:hint="eastAsia" w:ascii="仿宋_GB2312" w:hAnsi="仿宋_GB2312" w:eastAsia="仿宋_GB2312" w:cs="仿宋_GB2312"/>
                <w:szCs w:val="21"/>
              </w:rPr>
              <w:t>90（含）—100分为优；80（含）—90分为良； 60（含）—80 分为较差；60分以下为差。</w:t>
            </w:r>
          </w:p>
        </w:tc>
        <w:tc>
          <w:tcPr>
            <w:tcW w:w="752"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优</w:t>
            </w:r>
          </w:p>
        </w:tc>
      </w:tr>
    </w:tbl>
    <w:p>
      <w:pPr>
        <w:rPr>
          <w:rFonts w:eastAsia="仿宋_GB2312"/>
          <w:sz w:val="24"/>
        </w:rPr>
      </w:pPr>
      <w:r>
        <w:rPr>
          <w:rFonts w:hint="eastAsia" w:eastAsia="仿宋_GB2312"/>
          <w:sz w:val="24"/>
        </w:rPr>
        <w:t>评分人签名：                                                年   月   日</w:t>
      </w:r>
    </w:p>
    <w:p>
      <w:pPr>
        <w:rPr>
          <w:rFonts w:eastAsia="仿宋_GB2312"/>
          <w:sz w:val="24"/>
        </w:rPr>
        <w:sectPr>
          <w:footerReference r:id="rId3" w:type="default"/>
          <w:pgSz w:w="11906" w:h="16838"/>
          <w:pgMar w:top="1440" w:right="1080" w:bottom="1440" w:left="1080" w:header="851" w:footer="1418" w:gutter="0"/>
          <w:pgNumType w:fmt="numberInDash"/>
          <w:cols w:space="720" w:num="1"/>
          <w:docGrid w:linePitch="286" w:charSpace="0"/>
        </w:sectPr>
      </w:pPr>
    </w:p>
    <w:p>
      <w:pPr>
        <w:spacing w:before="120" w:beforeLines="50" w:after="120" w:afterLines="50"/>
        <w:rPr>
          <w:rFonts w:ascii="黑体" w:hAnsi="黑体" w:eastAsia="黑体" w:cs="黑体"/>
          <w:bCs/>
          <w:sz w:val="32"/>
          <w:szCs w:val="32"/>
        </w:rPr>
      </w:pPr>
      <w:r>
        <w:rPr>
          <w:rFonts w:hint="eastAsia" w:ascii="黑体" w:hAnsi="黑体" w:eastAsia="黑体" w:cs="黑体"/>
          <w:bCs/>
          <w:sz w:val="32"/>
          <w:szCs w:val="32"/>
        </w:rPr>
        <w:t>附件10：</w:t>
      </w:r>
    </w:p>
    <w:p>
      <w:pPr>
        <w:spacing w:before="120" w:beforeLines="50" w:after="120" w:afterLines="50"/>
        <w:jc w:val="center"/>
        <w:rPr>
          <w:rFonts w:eastAsia="方正小标宋_GBK"/>
          <w:bCs/>
          <w:sz w:val="36"/>
          <w:szCs w:val="36"/>
        </w:rPr>
      </w:pPr>
      <w:r>
        <w:rPr>
          <w:rFonts w:eastAsia="方正小标宋_GBK"/>
          <w:bCs/>
          <w:sz w:val="36"/>
          <w:szCs w:val="36"/>
        </w:rPr>
        <w:t>部门整体支出绩效评价共性指标框架（参考）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6"/>
        <w:gridCol w:w="866"/>
        <w:gridCol w:w="951"/>
        <w:gridCol w:w="2871"/>
        <w:gridCol w:w="4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tblHeader/>
          <w:jc w:val="center"/>
        </w:trPr>
        <w:tc>
          <w:tcPr>
            <w:tcW w:w="666" w:type="dxa"/>
            <w:tcMar>
              <w:top w:w="10" w:type="dxa"/>
              <w:left w:w="10" w:type="dxa"/>
              <w:bottom w:w="0" w:type="dxa"/>
              <w:right w:w="10" w:type="dxa"/>
            </w:tcMar>
            <w:vAlign w:val="center"/>
          </w:tcPr>
          <w:p>
            <w:pPr>
              <w:jc w:val="center"/>
              <w:rPr>
                <w:rFonts w:eastAsia="仿宋_GB2312"/>
                <w:b/>
                <w:bCs/>
                <w:szCs w:val="21"/>
              </w:rPr>
            </w:pPr>
            <w:r>
              <w:rPr>
                <w:rFonts w:hint="eastAsia" w:eastAsia="仿宋_GB2312"/>
                <w:b/>
                <w:bCs/>
                <w:szCs w:val="21"/>
              </w:rPr>
              <w:t>一级</w:t>
            </w:r>
            <w:r>
              <w:rPr>
                <w:rFonts w:hint="eastAsia" w:eastAsia="仿宋_GB2312"/>
                <w:b/>
                <w:bCs/>
                <w:szCs w:val="21"/>
              </w:rPr>
              <w:br w:type="textWrapping"/>
            </w:r>
            <w:r>
              <w:rPr>
                <w:rFonts w:hint="eastAsia" w:eastAsia="仿宋_GB2312"/>
                <w:b/>
                <w:bCs/>
                <w:szCs w:val="21"/>
              </w:rPr>
              <w:t>指标</w:t>
            </w:r>
          </w:p>
        </w:tc>
        <w:tc>
          <w:tcPr>
            <w:tcW w:w="866" w:type="dxa"/>
            <w:tcMar>
              <w:top w:w="10" w:type="dxa"/>
              <w:left w:w="10" w:type="dxa"/>
              <w:bottom w:w="0" w:type="dxa"/>
              <w:right w:w="10" w:type="dxa"/>
            </w:tcMar>
            <w:vAlign w:val="center"/>
          </w:tcPr>
          <w:p>
            <w:pPr>
              <w:ind w:right="-174" w:rightChars="-83"/>
              <w:jc w:val="center"/>
              <w:rPr>
                <w:rFonts w:eastAsia="仿宋_GB2312"/>
                <w:b/>
                <w:bCs/>
                <w:szCs w:val="21"/>
              </w:rPr>
            </w:pPr>
            <w:r>
              <w:rPr>
                <w:rFonts w:hint="eastAsia" w:eastAsia="仿宋_GB2312"/>
                <w:b/>
                <w:bCs/>
                <w:szCs w:val="21"/>
              </w:rPr>
              <w:t>二级</w:t>
            </w:r>
          </w:p>
          <w:p>
            <w:pPr>
              <w:ind w:right="-174" w:rightChars="-83"/>
              <w:jc w:val="center"/>
              <w:rPr>
                <w:rFonts w:eastAsia="仿宋_GB2312"/>
                <w:b/>
                <w:bCs/>
                <w:szCs w:val="21"/>
              </w:rPr>
            </w:pPr>
            <w:r>
              <w:rPr>
                <w:rFonts w:hint="eastAsia" w:eastAsia="仿宋_GB2312"/>
                <w:b/>
                <w:bCs/>
                <w:szCs w:val="21"/>
              </w:rPr>
              <w:t>指标</w:t>
            </w:r>
          </w:p>
        </w:tc>
        <w:tc>
          <w:tcPr>
            <w:tcW w:w="951" w:type="dxa"/>
            <w:tcMar>
              <w:top w:w="10" w:type="dxa"/>
              <w:left w:w="10" w:type="dxa"/>
              <w:bottom w:w="0" w:type="dxa"/>
              <w:right w:w="10" w:type="dxa"/>
            </w:tcMar>
            <w:vAlign w:val="center"/>
          </w:tcPr>
          <w:p>
            <w:pPr>
              <w:jc w:val="center"/>
              <w:rPr>
                <w:rFonts w:eastAsia="仿宋_GB2312"/>
                <w:b/>
                <w:bCs/>
                <w:szCs w:val="21"/>
              </w:rPr>
            </w:pPr>
            <w:r>
              <w:rPr>
                <w:rFonts w:hint="eastAsia" w:eastAsia="仿宋_GB2312"/>
                <w:b/>
                <w:bCs/>
                <w:szCs w:val="21"/>
              </w:rPr>
              <w:t>三级</w:t>
            </w:r>
          </w:p>
          <w:p>
            <w:pPr>
              <w:jc w:val="center"/>
              <w:rPr>
                <w:rFonts w:eastAsia="仿宋_GB2312"/>
                <w:b/>
                <w:bCs/>
                <w:szCs w:val="21"/>
              </w:rPr>
            </w:pPr>
            <w:r>
              <w:rPr>
                <w:rFonts w:hint="eastAsia" w:eastAsia="仿宋_GB2312"/>
                <w:b/>
                <w:bCs/>
                <w:szCs w:val="21"/>
              </w:rPr>
              <w:t>指标</w:t>
            </w:r>
          </w:p>
        </w:tc>
        <w:tc>
          <w:tcPr>
            <w:tcW w:w="2871" w:type="dxa"/>
            <w:tcMar>
              <w:top w:w="10" w:type="dxa"/>
              <w:left w:w="10" w:type="dxa"/>
              <w:bottom w:w="0" w:type="dxa"/>
              <w:right w:w="10" w:type="dxa"/>
            </w:tcMar>
            <w:vAlign w:val="center"/>
          </w:tcPr>
          <w:p>
            <w:pPr>
              <w:ind w:left="105" w:leftChars="50" w:right="105" w:rightChars="50"/>
              <w:jc w:val="center"/>
              <w:rPr>
                <w:rFonts w:eastAsia="仿宋_GB2312"/>
                <w:b/>
                <w:bCs/>
                <w:szCs w:val="21"/>
              </w:rPr>
            </w:pPr>
            <w:r>
              <w:rPr>
                <w:rFonts w:hint="eastAsia" w:eastAsia="仿宋_GB2312"/>
                <w:b/>
                <w:bCs/>
                <w:szCs w:val="21"/>
              </w:rPr>
              <w:t>指标解释</w:t>
            </w:r>
          </w:p>
        </w:tc>
        <w:tc>
          <w:tcPr>
            <w:tcW w:w="4238" w:type="dxa"/>
            <w:tcMar>
              <w:top w:w="10" w:type="dxa"/>
              <w:left w:w="10" w:type="dxa"/>
              <w:bottom w:w="0" w:type="dxa"/>
              <w:right w:w="10" w:type="dxa"/>
            </w:tcMar>
            <w:vAlign w:val="center"/>
          </w:tcPr>
          <w:p>
            <w:pPr>
              <w:ind w:left="105" w:leftChars="50" w:right="105" w:rightChars="50"/>
              <w:jc w:val="center"/>
              <w:rPr>
                <w:rFonts w:eastAsia="仿宋_GB2312"/>
                <w:b/>
                <w:bCs/>
                <w:szCs w:val="21"/>
              </w:rPr>
            </w:pPr>
            <w:r>
              <w:rPr>
                <w:rFonts w:hint="eastAsia" w:eastAsia="仿宋_GB2312"/>
                <w:b/>
                <w:bCs/>
                <w:szCs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7" w:hRule="atLeast"/>
          <w:jc w:val="center"/>
        </w:trPr>
        <w:tc>
          <w:tcPr>
            <w:tcW w:w="666" w:type="dxa"/>
            <w:vMerge w:val="restart"/>
            <w:tcMar>
              <w:top w:w="10" w:type="dxa"/>
              <w:left w:w="10" w:type="dxa"/>
              <w:bottom w:w="0" w:type="dxa"/>
              <w:right w:w="10" w:type="dxa"/>
            </w:tcMar>
            <w:textDirection w:val="tbRlV"/>
            <w:vAlign w:val="center"/>
          </w:tcPr>
          <w:p>
            <w:pPr>
              <w:spacing w:line="320" w:lineRule="exact"/>
              <w:jc w:val="center"/>
              <w:rPr>
                <w:rFonts w:eastAsia="仿宋_GB2312"/>
                <w:szCs w:val="21"/>
              </w:rPr>
            </w:pPr>
            <w:r>
              <w:rPr>
                <w:rFonts w:hint="eastAsia" w:eastAsia="仿宋_GB2312"/>
                <w:szCs w:val="21"/>
              </w:rPr>
              <w:t>投   入</w:t>
            </w:r>
          </w:p>
        </w:tc>
        <w:tc>
          <w:tcPr>
            <w:tcW w:w="866" w:type="dxa"/>
            <w:vMerge w:val="restart"/>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目标</w:t>
            </w:r>
            <w:r>
              <w:rPr>
                <w:rFonts w:hint="eastAsia" w:eastAsia="仿宋_GB2312"/>
                <w:szCs w:val="21"/>
              </w:rPr>
              <w:br w:type="textWrapping"/>
            </w:r>
            <w:r>
              <w:rPr>
                <w:rFonts w:hint="eastAsia" w:eastAsia="仿宋_GB2312"/>
                <w:szCs w:val="21"/>
              </w:rPr>
              <w:t>设定</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绩效目标</w:t>
            </w:r>
          </w:p>
          <w:p>
            <w:pPr>
              <w:spacing w:line="320" w:lineRule="exact"/>
              <w:jc w:val="center"/>
              <w:rPr>
                <w:rFonts w:eastAsia="仿宋_GB2312"/>
                <w:szCs w:val="21"/>
              </w:rPr>
            </w:pPr>
            <w:r>
              <w:rPr>
                <w:rFonts w:hint="eastAsia" w:eastAsia="仿宋_GB2312"/>
                <w:szCs w:val="21"/>
              </w:rPr>
              <w:t>合理性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部门所设立的整体绩效目标依据是否充分，是否符合客观实际，用以反映和考核部门整体绩效目标与部门履职、年度工作任务的相符性情况。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是否符合国家法律法规、国民经济和社会发展总体规划；</w:t>
            </w:r>
            <w:r>
              <w:rPr>
                <w:rFonts w:hint="eastAsia" w:eastAsia="仿宋_GB2312"/>
                <w:szCs w:val="21"/>
              </w:rPr>
              <w:br w:type="textWrapping"/>
            </w:r>
            <w:r>
              <w:rPr>
                <w:rFonts w:hint="eastAsia" w:eastAsia="仿宋_GB2312" w:cs="宋体"/>
                <w:szCs w:val="21"/>
              </w:rPr>
              <w:t>②</w:t>
            </w:r>
            <w:r>
              <w:rPr>
                <w:rFonts w:hint="eastAsia" w:eastAsia="仿宋_GB2312"/>
                <w:szCs w:val="21"/>
              </w:rPr>
              <w:t>是否符合部门“三定”方案确定的职责；</w:t>
            </w:r>
            <w:r>
              <w:rPr>
                <w:rFonts w:hint="eastAsia" w:eastAsia="仿宋_GB2312"/>
                <w:szCs w:val="21"/>
              </w:rPr>
              <w:br w:type="textWrapping"/>
            </w:r>
            <w:r>
              <w:rPr>
                <w:rFonts w:hint="eastAsia" w:eastAsia="仿宋_GB2312" w:cs="宋体"/>
                <w:szCs w:val="21"/>
              </w:rPr>
              <w:t>③</w:t>
            </w:r>
            <w:r>
              <w:rPr>
                <w:rFonts w:hint="eastAsia" w:eastAsia="仿宋_GB2312"/>
                <w:szCs w:val="21"/>
              </w:rPr>
              <w:t>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7"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绩效指标</w:t>
            </w:r>
          </w:p>
          <w:p>
            <w:pPr>
              <w:spacing w:line="320" w:lineRule="exact"/>
              <w:jc w:val="center"/>
              <w:rPr>
                <w:rFonts w:eastAsia="仿宋_GB2312"/>
                <w:szCs w:val="21"/>
              </w:rPr>
            </w:pPr>
            <w:r>
              <w:rPr>
                <w:rFonts w:hint="eastAsia" w:eastAsia="仿宋_GB2312"/>
                <w:szCs w:val="21"/>
              </w:rPr>
              <w:t>明确性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部门依据整体绩效目标所设定的绩效指标是否清晰、细化、可衡量，用以反映和考核部门整体绩效目标的明细化情况。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是否将部门整体的绩效目标细化分解为具体的工作任务；</w:t>
            </w:r>
            <w:r>
              <w:rPr>
                <w:rFonts w:hint="eastAsia" w:eastAsia="仿宋_GB2312"/>
                <w:szCs w:val="21"/>
              </w:rPr>
              <w:br w:type="textWrapping"/>
            </w:r>
            <w:r>
              <w:rPr>
                <w:rFonts w:hint="eastAsia" w:eastAsia="仿宋_GB2312" w:cs="宋体"/>
                <w:szCs w:val="21"/>
              </w:rPr>
              <w:t>②</w:t>
            </w:r>
            <w:r>
              <w:rPr>
                <w:rFonts w:hint="eastAsia" w:eastAsia="仿宋_GB2312"/>
                <w:szCs w:val="21"/>
              </w:rPr>
              <w:t xml:space="preserve">是否通过清晰、可衡量的指标值予以体现。    </w:t>
            </w:r>
            <w:r>
              <w:rPr>
                <w:rFonts w:hint="eastAsia" w:eastAsia="仿宋_GB2312" w:cs="宋体"/>
                <w:szCs w:val="21"/>
              </w:rPr>
              <w:t>③</w:t>
            </w:r>
            <w:r>
              <w:rPr>
                <w:rFonts w:hint="eastAsia" w:eastAsia="仿宋_GB2312"/>
                <w:szCs w:val="21"/>
              </w:rPr>
              <w:t>是否与部门年度的任务数或计划数相对应；</w:t>
            </w:r>
            <w:r>
              <w:rPr>
                <w:rFonts w:hint="eastAsia" w:eastAsia="仿宋_GB2312"/>
                <w:szCs w:val="21"/>
              </w:rPr>
              <w:br w:type="textWrapping"/>
            </w:r>
            <w:r>
              <w:rPr>
                <w:rFonts w:hint="eastAsia" w:eastAsia="仿宋_GB2312" w:cs="宋体"/>
                <w:szCs w:val="21"/>
              </w:rPr>
              <w:t>④</w:t>
            </w:r>
            <w:r>
              <w:rPr>
                <w:rFonts w:hint="eastAsia" w:eastAsia="仿宋_GB2312"/>
                <w:szCs w:val="21"/>
              </w:rPr>
              <w:t>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0" w:hRule="atLeast"/>
          <w:jc w:val="center"/>
        </w:trPr>
        <w:tc>
          <w:tcPr>
            <w:tcW w:w="666" w:type="dxa"/>
            <w:vMerge w:val="continue"/>
            <w:vAlign w:val="center"/>
          </w:tcPr>
          <w:p>
            <w:pPr>
              <w:spacing w:line="320" w:lineRule="exact"/>
              <w:rPr>
                <w:rFonts w:eastAsia="仿宋_GB2312"/>
                <w:szCs w:val="21"/>
              </w:rPr>
            </w:pPr>
          </w:p>
        </w:tc>
        <w:tc>
          <w:tcPr>
            <w:tcW w:w="866" w:type="dxa"/>
            <w:vMerge w:val="restart"/>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预算</w:t>
            </w:r>
            <w:r>
              <w:rPr>
                <w:rFonts w:hint="eastAsia" w:eastAsia="仿宋_GB2312"/>
                <w:szCs w:val="21"/>
              </w:rPr>
              <w:br w:type="textWrapping"/>
            </w:r>
            <w:r>
              <w:rPr>
                <w:rFonts w:hint="eastAsia" w:eastAsia="仿宋_GB2312"/>
                <w:szCs w:val="21"/>
              </w:rPr>
              <w:t>配置</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在职人员</w:t>
            </w:r>
          </w:p>
          <w:p>
            <w:pPr>
              <w:spacing w:line="320" w:lineRule="exact"/>
              <w:jc w:val="center"/>
              <w:rPr>
                <w:rFonts w:eastAsia="仿宋_GB2312"/>
                <w:szCs w:val="21"/>
              </w:rPr>
            </w:pPr>
            <w:r>
              <w:rPr>
                <w:rFonts w:hint="eastAsia" w:eastAsia="仿宋_GB2312"/>
                <w:szCs w:val="21"/>
              </w:rPr>
              <w:t>控制率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部门本年度实际在职人员数与编制数的比率，用以反映和考核部门对人员成本的控制程度。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在职人员控制率=（在职人员数/编制数）×100%。</w:t>
            </w:r>
            <w:r>
              <w:rPr>
                <w:rFonts w:hint="eastAsia" w:eastAsia="仿宋_GB2312"/>
                <w:szCs w:val="21"/>
              </w:rPr>
              <w:br w:type="textWrapping"/>
            </w:r>
            <w:r>
              <w:rPr>
                <w:rFonts w:hint="eastAsia" w:eastAsia="仿宋_GB2312"/>
                <w:szCs w:val="21"/>
              </w:rPr>
              <w:t>在职人员数：部门实际在职人数，以财政部确定的部门决算编制口径为准。</w:t>
            </w:r>
            <w:r>
              <w:rPr>
                <w:rFonts w:hint="eastAsia" w:eastAsia="仿宋_GB2312"/>
                <w:szCs w:val="21"/>
              </w:rPr>
              <w:br w:type="textWrapping"/>
            </w:r>
            <w:r>
              <w:rPr>
                <w:rFonts w:hint="eastAsia" w:eastAsia="仿宋_GB2312"/>
                <w:szCs w:val="21"/>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9"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“三公经费”</w:t>
            </w:r>
          </w:p>
          <w:p>
            <w:pPr>
              <w:spacing w:line="320" w:lineRule="exact"/>
              <w:jc w:val="center"/>
              <w:rPr>
                <w:rFonts w:eastAsia="仿宋_GB2312"/>
                <w:szCs w:val="21"/>
              </w:rPr>
            </w:pPr>
            <w:r>
              <w:rPr>
                <w:rFonts w:hint="eastAsia" w:eastAsia="仿宋_GB2312"/>
                <w:szCs w:val="21"/>
              </w:rPr>
              <w:t>变动率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部门本年度“三公经费”预算数与上年度“三公经费”预算数的变动比率，用以反映和考核部门对控制重点行政成本的努力程度。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“三公经费”变动率=[（本年度“三公经费”总额-上年度“三公经费”总额）/上年度“三公经费”总额]×100%。</w:t>
            </w:r>
            <w:r>
              <w:rPr>
                <w:rFonts w:hint="eastAsia" w:eastAsia="仿宋_GB2312"/>
                <w:szCs w:val="21"/>
              </w:rPr>
              <w:br w:type="textWrapping"/>
            </w:r>
            <w:r>
              <w:rPr>
                <w:rFonts w:hint="eastAsia" w:eastAsia="仿宋_GB2312"/>
                <w:szCs w:val="21"/>
              </w:rPr>
              <w:t>“三公经费”：年度预算安排的因公出国（境）费用、公务用车购置及运行维护费和公务接待费。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1"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重点支出</w:t>
            </w:r>
          </w:p>
          <w:p>
            <w:pPr>
              <w:spacing w:line="320" w:lineRule="exact"/>
              <w:jc w:val="center"/>
              <w:rPr>
                <w:rFonts w:eastAsia="仿宋_GB2312"/>
                <w:szCs w:val="21"/>
              </w:rPr>
            </w:pPr>
            <w:r>
              <w:rPr>
                <w:rFonts w:hint="eastAsia" w:eastAsia="仿宋_GB2312"/>
                <w:szCs w:val="21"/>
              </w:rPr>
              <w:t>安排率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部门本年度预算安排的重点预算支出与部门预算总支出的比率，用以反映和考核部门对履行主要职责或完成重点任务的保障程度。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重点支出安排率=（重点预算支出/预算总支出）×100%。</w:t>
            </w:r>
            <w:r>
              <w:rPr>
                <w:rFonts w:hint="eastAsia" w:eastAsia="仿宋_GB2312"/>
                <w:szCs w:val="21"/>
              </w:rPr>
              <w:br w:type="textWrapping"/>
            </w:r>
            <w:r>
              <w:rPr>
                <w:rFonts w:hint="eastAsia" w:eastAsia="仿宋_GB2312"/>
                <w:szCs w:val="21"/>
              </w:rPr>
              <w:t>重点预算支出：部门年度预算安排的，与本部门履职和发展密切相关、具有明显社会和经济影响、党委政府关心或社会比较关注的预算支出支出总额。</w:t>
            </w:r>
            <w:r>
              <w:rPr>
                <w:rFonts w:hint="eastAsia" w:eastAsia="仿宋_GB2312"/>
                <w:szCs w:val="21"/>
              </w:rPr>
              <w:br w:type="textWrapping"/>
            </w:r>
            <w:r>
              <w:rPr>
                <w:rFonts w:hint="eastAsia" w:eastAsia="仿宋_GB2312"/>
                <w:szCs w:val="21"/>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0" w:hRule="atLeast"/>
          <w:jc w:val="center"/>
        </w:trPr>
        <w:tc>
          <w:tcPr>
            <w:tcW w:w="666" w:type="dxa"/>
            <w:vMerge w:val="restart"/>
            <w:tcMar>
              <w:top w:w="10" w:type="dxa"/>
              <w:left w:w="10" w:type="dxa"/>
              <w:bottom w:w="0" w:type="dxa"/>
              <w:right w:w="10" w:type="dxa"/>
            </w:tcMar>
            <w:textDirection w:val="tbRlV"/>
            <w:vAlign w:val="center"/>
          </w:tcPr>
          <w:p>
            <w:pPr>
              <w:spacing w:line="320" w:lineRule="exact"/>
              <w:jc w:val="center"/>
              <w:rPr>
                <w:rFonts w:eastAsia="仿宋_GB2312"/>
                <w:szCs w:val="21"/>
              </w:rPr>
            </w:pPr>
            <w:r>
              <w:rPr>
                <w:rFonts w:hint="eastAsia" w:eastAsia="仿宋_GB2312"/>
                <w:szCs w:val="21"/>
              </w:rPr>
              <w:t>过   程</w:t>
            </w:r>
          </w:p>
        </w:tc>
        <w:tc>
          <w:tcPr>
            <w:tcW w:w="866" w:type="dxa"/>
            <w:vMerge w:val="restart"/>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预算</w:t>
            </w:r>
            <w:r>
              <w:rPr>
                <w:rFonts w:hint="eastAsia" w:eastAsia="仿宋_GB2312"/>
                <w:szCs w:val="21"/>
              </w:rPr>
              <w:br w:type="textWrapping"/>
            </w:r>
            <w:r>
              <w:rPr>
                <w:rFonts w:hint="eastAsia" w:eastAsia="仿宋_GB2312"/>
                <w:szCs w:val="21"/>
              </w:rPr>
              <w:t>执行</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预算</w:t>
            </w:r>
          </w:p>
          <w:p>
            <w:pPr>
              <w:spacing w:line="320" w:lineRule="exact"/>
              <w:jc w:val="center"/>
              <w:rPr>
                <w:rFonts w:eastAsia="仿宋_GB2312"/>
                <w:szCs w:val="21"/>
              </w:rPr>
            </w:pPr>
            <w:r>
              <w:rPr>
                <w:rFonts w:hint="eastAsia" w:eastAsia="仿宋_GB2312"/>
                <w:szCs w:val="21"/>
              </w:rPr>
              <w:t>执行率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部门本年度预算完成数与预算数的比率，用以反映和考核部门预算完成程度。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预算执行率=（预算执行数/预算数）×100%。</w:t>
            </w:r>
            <w:r>
              <w:rPr>
                <w:rFonts w:hint="eastAsia" w:eastAsia="仿宋_GB2312"/>
                <w:szCs w:val="21"/>
              </w:rPr>
              <w:br w:type="textWrapping"/>
            </w:r>
            <w:r>
              <w:rPr>
                <w:rFonts w:hint="eastAsia" w:eastAsia="仿宋_GB2312"/>
                <w:szCs w:val="21"/>
              </w:rPr>
              <w:t>预算执行数：部门本年度实际完成的预算数。</w:t>
            </w:r>
            <w:r>
              <w:rPr>
                <w:rFonts w:hint="eastAsia" w:eastAsia="仿宋_GB2312"/>
                <w:szCs w:val="21"/>
              </w:rPr>
              <w:br w:type="textWrapping"/>
            </w:r>
            <w:r>
              <w:rPr>
                <w:rFonts w:hint="eastAsia" w:eastAsia="仿宋_GB2312"/>
                <w:szCs w:val="21"/>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8"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jc w:val="center"/>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预算</w:t>
            </w:r>
          </w:p>
          <w:p>
            <w:pPr>
              <w:spacing w:line="320" w:lineRule="exact"/>
              <w:jc w:val="center"/>
              <w:rPr>
                <w:rFonts w:eastAsia="仿宋_GB2312"/>
                <w:szCs w:val="21"/>
              </w:rPr>
            </w:pPr>
            <w:r>
              <w:rPr>
                <w:rFonts w:hint="eastAsia" w:eastAsia="仿宋_GB2312"/>
                <w:szCs w:val="21"/>
              </w:rPr>
              <w:t>调整率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部门本年度预算调整数与预算数的比率，用以反映和考核部门预算的调整程度。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预算调整率=（预算调整数/预算数）×100%。</w:t>
            </w:r>
            <w:r>
              <w:rPr>
                <w:rFonts w:hint="eastAsia" w:eastAsia="仿宋_GB2312"/>
                <w:szCs w:val="21"/>
              </w:rPr>
              <w:br w:type="textWrapping"/>
            </w:r>
            <w:r>
              <w:rPr>
                <w:rFonts w:hint="eastAsia" w:eastAsia="仿宋_GB2312"/>
                <w:szCs w:val="21"/>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9"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jc w:val="center"/>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支付</w:t>
            </w:r>
          </w:p>
          <w:p>
            <w:pPr>
              <w:spacing w:line="320" w:lineRule="exact"/>
              <w:jc w:val="center"/>
              <w:rPr>
                <w:rFonts w:eastAsia="仿宋_GB2312"/>
                <w:szCs w:val="21"/>
              </w:rPr>
            </w:pPr>
            <w:r>
              <w:rPr>
                <w:rFonts w:hint="eastAsia" w:eastAsia="仿宋_GB2312"/>
                <w:szCs w:val="21"/>
              </w:rPr>
              <w:t>进度率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部门实际支付进度与既定支付进度的比率，用以反映和考核部门预算执行的及时性和均衡性程度。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支付进度率=（实际支付进度/既定支付进度）×100%。</w:t>
            </w:r>
            <w:r>
              <w:rPr>
                <w:rFonts w:hint="eastAsia" w:eastAsia="仿宋_GB2312"/>
                <w:szCs w:val="21"/>
              </w:rPr>
              <w:br w:type="textWrapping"/>
            </w:r>
            <w:r>
              <w:rPr>
                <w:rFonts w:hint="eastAsia" w:eastAsia="仿宋_GB2312"/>
                <w:szCs w:val="21"/>
              </w:rPr>
              <w:t>实际支付进度：部门在某一时点的支出预算执行总数与年度支出预算数的比率。</w:t>
            </w:r>
            <w:r>
              <w:rPr>
                <w:rFonts w:hint="eastAsia" w:eastAsia="仿宋_GB2312"/>
                <w:szCs w:val="21"/>
              </w:rPr>
              <w:br w:type="textWrapping"/>
            </w:r>
            <w:r>
              <w:rPr>
                <w:rFonts w:hint="eastAsia" w:eastAsia="仿宋_GB2312"/>
                <w:szCs w:val="21"/>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666" w:type="dxa"/>
            <w:vMerge w:val="continue"/>
            <w:tcMar>
              <w:top w:w="10" w:type="dxa"/>
              <w:left w:w="10" w:type="dxa"/>
              <w:bottom w:w="0" w:type="dxa"/>
              <w:right w:w="10" w:type="dxa"/>
            </w:tcMar>
            <w:textDirection w:val="tbRlV"/>
            <w:vAlign w:val="center"/>
          </w:tcPr>
          <w:p>
            <w:pPr>
              <w:spacing w:line="320" w:lineRule="exact"/>
              <w:jc w:val="center"/>
              <w:rPr>
                <w:rFonts w:eastAsia="仿宋_GB2312"/>
                <w:szCs w:val="21"/>
              </w:rPr>
            </w:pPr>
          </w:p>
        </w:tc>
        <w:tc>
          <w:tcPr>
            <w:tcW w:w="866" w:type="dxa"/>
            <w:vMerge w:val="continue"/>
            <w:tcMar>
              <w:top w:w="10" w:type="dxa"/>
              <w:left w:w="10" w:type="dxa"/>
              <w:bottom w:w="0" w:type="dxa"/>
              <w:right w:w="10" w:type="dxa"/>
            </w:tcMar>
            <w:vAlign w:val="center"/>
          </w:tcPr>
          <w:p>
            <w:pPr>
              <w:spacing w:line="320" w:lineRule="exact"/>
              <w:jc w:val="center"/>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结转</w:t>
            </w:r>
          </w:p>
          <w:p>
            <w:pPr>
              <w:spacing w:line="320" w:lineRule="exact"/>
              <w:jc w:val="center"/>
              <w:rPr>
                <w:rFonts w:eastAsia="仿宋_GB2312"/>
                <w:szCs w:val="21"/>
              </w:rPr>
            </w:pPr>
            <w:r>
              <w:rPr>
                <w:rFonts w:hint="eastAsia" w:eastAsia="仿宋_GB2312"/>
                <w:szCs w:val="21"/>
              </w:rPr>
              <w:t>结余率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部门本年度结转结余总额与支出预算数的比率，用以反映和考核部门对本年度结转结余资金的实际控制程度。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结转结余率=（结转结余总额/支出预算数）×100%。</w:t>
            </w:r>
            <w:r>
              <w:rPr>
                <w:rFonts w:hint="eastAsia" w:eastAsia="仿宋_GB2312"/>
                <w:szCs w:val="21"/>
              </w:rPr>
              <w:br w:type="textWrapping"/>
            </w:r>
            <w:r>
              <w:rPr>
                <w:rFonts w:hint="eastAsia" w:eastAsia="仿宋_GB2312"/>
                <w:szCs w:val="21"/>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7"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结转结余</w:t>
            </w:r>
          </w:p>
          <w:p>
            <w:pPr>
              <w:spacing w:line="320" w:lineRule="exact"/>
              <w:jc w:val="center"/>
              <w:rPr>
                <w:rFonts w:eastAsia="仿宋_GB2312"/>
                <w:szCs w:val="21"/>
              </w:rPr>
            </w:pPr>
            <w:r>
              <w:rPr>
                <w:rFonts w:hint="eastAsia" w:eastAsia="仿宋_GB2312"/>
                <w:szCs w:val="21"/>
              </w:rPr>
              <w:t>变动率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部门本年度结转结余资金总额与上年度结转结余资金总额的变动比率，用以反映和考核部门对控制结转结余资金的努力程度。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结转结余变动率=[（本年度累计结转结余资金总额-上年度累计结转结余资金总额）/上年度累计结转结余资金总额]×100%。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9"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公用经费</w:t>
            </w:r>
          </w:p>
          <w:p>
            <w:pPr>
              <w:spacing w:line="320" w:lineRule="exact"/>
              <w:jc w:val="center"/>
              <w:rPr>
                <w:rFonts w:eastAsia="仿宋_GB2312"/>
                <w:szCs w:val="21"/>
              </w:rPr>
            </w:pPr>
            <w:r>
              <w:rPr>
                <w:rFonts w:hint="eastAsia" w:eastAsia="仿宋_GB2312"/>
                <w:szCs w:val="21"/>
              </w:rPr>
              <w:t>控制率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部门本年度实际支出的公用经费总额与预算安排的公用经费总额的比率，用以反映和考核部门对机构运转成本的实际控制程度。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公用经费控制率=（实际支出公用经费总额/预算安排公用经费总额）×100%。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4" w:hRule="atLeast"/>
          <w:jc w:val="center"/>
        </w:trPr>
        <w:tc>
          <w:tcPr>
            <w:tcW w:w="666" w:type="dxa"/>
            <w:vMerge w:val="restart"/>
            <w:vAlign w:val="center"/>
          </w:tcPr>
          <w:p>
            <w:pPr>
              <w:spacing w:line="320" w:lineRule="exact"/>
              <w:jc w:val="center"/>
              <w:rPr>
                <w:rFonts w:eastAsia="仿宋_GB2312"/>
                <w:szCs w:val="21"/>
              </w:rPr>
            </w:pPr>
            <w:r>
              <w:rPr>
                <w:rFonts w:hint="eastAsia" w:eastAsia="仿宋_GB2312"/>
                <w:szCs w:val="21"/>
              </w:rPr>
              <w:t>过</w:t>
            </w:r>
          </w:p>
          <w:p>
            <w:pPr>
              <w:spacing w:line="320" w:lineRule="exact"/>
              <w:jc w:val="center"/>
              <w:rPr>
                <w:rFonts w:eastAsia="仿宋_GB2312"/>
                <w:szCs w:val="21"/>
              </w:rPr>
            </w:pPr>
            <w:r>
              <w:rPr>
                <w:rFonts w:hint="eastAsia" w:eastAsia="仿宋_GB2312"/>
                <w:szCs w:val="21"/>
              </w:rPr>
              <w:t>程</w:t>
            </w:r>
          </w:p>
        </w:tc>
        <w:tc>
          <w:tcPr>
            <w:tcW w:w="866" w:type="dxa"/>
            <w:vMerge w:val="restart"/>
            <w:vAlign w:val="center"/>
          </w:tcPr>
          <w:p>
            <w:pPr>
              <w:spacing w:line="320" w:lineRule="exact"/>
              <w:jc w:val="center"/>
              <w:rPr>
                <w:rFonts w:eastAsia="仿宋_GB2312"/>
                <w:szCs w:val="21"/>
              </w:rPr>
            </w:pPr>
            <w:r>
              <w:rPr>
                <w:rFonts w:hint="eastAsia" w:eastAsia="仿宋_GB2312"/>
                <w:szCs w:val="21"/>
              </w:rPr>
              <w:t>预算</w:t>
            </w:r>
            <w:r>
              <w:rPr>
                <w:rFonts w:hint="eastAsia" w:eastAsia="仿宋_GB2312"/>
                <w:szCs w:val="21"/>
              </w:rPr>
              <w:br w:type="textWrapping"/>
            </w:r>
            <w:r>
              <w:rPr>
                <w:rFonts w:hint="eastAsia" w:eastAsia="仿宋_GB2312"/>
                <w:szCs w:val="21"/>
              </w:rPr>
              <w:t>执行</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“三公经费”控制率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部门本年度“三公经费”实际支出数与预算安排数的比率，用以反映和考核部门对“三公经费”的实际控制程度。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“三公经费”控制率=（“三公经费”实际支出数/“三公经费”预算安排数）×100%。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8"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政府采购</w:t>
            </w:r>
          </w:p>
          <w:p>
            <w:pPr>
              <w:spacing w:line="320" w:lineRule="exact"/>
              <w:jc w:val="center"/>
              <w:rPr>
                <w:rFonts w:eastAsia="仿宋_GB2312"/>
                <w:szCs w:val="21"/>
              </w:rPr>
            </w:pPr>
            <w:r>
              <w:rPr>
                <w:rFonts w:hint="eastAsia" w:eastAsia="仿宋_GB2312"/>
                <w:szCs w:val="21"/>
              </w:rPr>
              <w:t>执行率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部门本年度实际政府采购金额与年初政府采购预算的比率，用以反映和考核部门政府采购预算执行情况。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政府采购执行率=（实际政府采购金额/政府采购预算数）×100%；</w:t>
            </w:r>
            <w:r>
              <w:rPr>
                <w:rFonts w:hint="eastAsia" w:eastAsia="仿宋_GB2312"/>
                <w:szCs w:val="21"/>
              </w:rPr>
              <w:br w:type="textWrapping"/>
            </w:r>
            <w:r>
              <w:rPr>
                <w:rFonts w:hint="eastAsia" w:eastAsia="仿宋_GB2312"/>
                <w:szCs w:val="21"/>
              </w:rPr>
              <w:t xml:space="preserve">政府采购预算：采购机关根据事业发展计划和行政任务编制的、并经过规定程序批准的年度政府采购计划。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8" w:hRule="atLeast"/>
          <w:jc w:val="center"/>
        </w:trPr>
        <w:tc>
          <w:tcPr>
            <w:tcW w:w="666" w:type="dxa"/>
            <w:vMerge w:val="continue"/>
            <w:vAlign w:val="center"/>
          </w:tcPr>
          <w:p>
            <w:pPr>
              <w:spacing w:line="320" w:lineRule="exact"/>
              <w:jc w:val="center"/>
              <w:rPr>
                <w:rFonts w:eastAsia="仿宋_GB2312"/>
                <w:szCs w:val="21"/>
              </w:rPr>
            </w:pPr>
          </w:p>
        </w:tc>
        <w:tc>
          <w:tcPr>
            <w:tcW w:w="866"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预算</w:t>
            </w:r>
            <w:r>
              <w:rPr>
                <w:rFonts w:hint="eastAsia" w:eastAsia="仿宋_GB2312"/>
                <w:szCs w:val="21"/>
              </w:rPr>
              <w:br w:type="textWrapping"/>
            </w:r>
            <w:r>
              <w:rPr>
                <w:rFonts w:hint="eastAsia" w:eastAsia="仿宋_GB2312"/>
                <w:szCs w:val="21"/>
              </w:rPr>
              <w:t>管理</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管理制度</w:t>
            </w:r>
          </w:p>
          <w:p>
            <w:pPr>
              <w:spacing w:line="320" w:lineRule="exact"/>
              <w:jc w:val="center"/>
              <w:rPr>
                <w:rFonts w:eastAsia="仿宋_GB2312"/>
                <w:szCs w:val="21"/>
              </w:rPr>
            </w:pPr>
            <w:r>
              <w:rPr>
                <w:rFonts w:hint="eastAsia" w:eastAsia="仿宋_GB2312"/>
                <w:szCs w:val="21"/>
              </w:rPr>
              <w:t>健全性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部门为加强预算管理、规范财务行为而制定的管理制度是否健全完整，用以反映和考核部门预算管理制度对完成主要职责或促进事业发展的保障情况。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是否已制定或具有预算资金管理办法、内部财务管理制度、会计核算制度等管理制度；</w:t>
            </w:r>
            <w:r>
              <w:rPr>
                <w:rFonts w:hint="eastAsia" w:eastAsia="仿宋_GB2312"/>
                <w:szCs w:val="21"/>
              </w:rPr>
              <w:br w:type="textWrapping"/>
            </w:r>
            <w:r>
              <w:rPr>
                <w:rFonts w:hint="eastAsia" w:eastAsia="仿宋_GB2312" w:cs="宋体"/>
                <w:szCs w:val="21"/>
              </w:rPr>
              <w:t>②</w:t>
            </w:r>
            <w:r>
              <w:rPr>
                <w:rFonts w:hint="eastAsia" w:eastAsia="仿宋_GB2312"/>
                <w:szCs w:val="21"/>
              </w:rPr>
              <w:t>相关管理制度是否合法、合规、完整；</w:t>
            </w:r>
            <w:r>
              <w:rPr>
                <w:rFonts w:hint="eastAsia" w:eastAsia="仿宋_GB2312"/>
                <w:szCs w:val="21"/>
              </w:rPr>
              <w:br w:type="textWrapping"/>
            </w:r>
            <w:r>
              <w:rPr>
                <w:rFonts w:hint="eastAsia" w:eastAsia="仿宋_GB2312" w:cs="宋体"/>
                <w:szCs w:val="21"/>
              </w:rPr>
              <w:t>③</w:t>
            </w:r>
            <w:r>
              <w:rPr>
                <w:rFonts w:hint="eastAsia" w:eastAsia="仿宋_GB2312"/>
                <w:szCs w:val="21"/>
              </w:rPr>
              <w:t>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9" w:hRule="atLeast"/>
          <w:jc w:val="center"/>
        </w:trPr>
        <w:tc>
          <w:tcPr>
            <w:tcW w:w="666" w:type="dxa"/>
            <w:vMerge w:val="continue"/>
            <w:vAlign w:val="center"/>
          </w:tcPr>
          <w:p>
            <w:pPr>
              <w:spacing w:line="320" w:lineRule="exact"/>
              <w:jc w:val="center"/>
              <w:rPr>
                <w:rFonts w:eastAsia="仿宋_GB2312"/>
                <w:szCs w:val="21"/>
              </w:rPr>
            </w:pPr>
          </w:p>
        </w:tc>
        <w:tc>
          <w:tcPr>
            <w:tcW w:w="866" w:type="dxa"/>
            <w:vMerge w:val="restart"/>
            <w:vAlign w:val="center"/>
          </w:tcPr>
          <w:p>
            <w:pPr>
              <w:spacing w:line="320" w:lineRule="exact"/>
              <w:jc w:val="center"/>
              <w:rPr>
                <w:rFonts w:eastAsia="仿宋_GB2312"/>
                <w:szCs w:val="21"/>
              </w:rPr>
            </w:pPr>
            <w:r>
              <w:rPr>
                <w:rFonts w:hint="eastAsia" w:eastAsia="仿宋_GB2312"/>
                <w:szCs w:val="21"/>
              </w:rPr>
              <w:t>预算</w:t>
            </w:r>
          </w:p>
          <w:p>
            <w:pPr>
              <w:spacing w:line="320" w:lineRule="exact"/>
              <w:jc w:val="center"/>
              <w:rPr>
                <w:rFonts w:eastAsia="仿宋_GB2312"/>
                <w:szCs w:val="21"/>
              </w:rPr>
            </w:pPr>
            <w:r>
              <w:rPr>
                <w:rFonts w:hint="eastAsia" w:eastAsia="仿宋_GB2312"/>
                <w:szCs w:val="21"/>
              </w:rPr>
              <w:t>管理</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资金使用</w:t>
            </w:r>
          </w:p>
          <w:p>
            <w:pPr>
              <w:spacing w:line="320" w:lineRule="exact"/>
              <w:jc w:val="center"/>
              <w:rPr>
                <w:rFonts w:eastAsia="仿宋_GB2312"/>
                <w:szCs w:val="21"/>
              </w:rPr>
            </w:pPr>
            <w:r>
              <w:rPr>
                <w:rFonts w:hint="eastAsia" w:eastAsia="仿宋_GB2312"/>
                <w:szCs w:val="21"/>
              </w:rPr>
              <w:t>合规性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部门使用预算资金是否符合相关的预算财务管理制度的规定，用以反映和考核部门预算资金的规范运行情况。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是否符合国家财经法规和财务管理制度规定以及有关预算支出管理办法的规定；</w:t>
            </w:r>
            <w:r>
              <w:rPr>
                <w:rFonts w:hint="eastAsia" w:eastAsia="仿宋_GB2312"/>
                <w:szCs w:val="21"/>
              </w:rPr>
              <w:br w:type="textWrapping"/>
            </w:r>
            <w:r>
              <w:rPr>
                <w:rFonts w:hint="eastAsia" w:eastAsia="仿宋_GB2312" w:cs="宋体"/>
                <w:szCs w:val="21"/>
              </w:rPr>
              <w:t>②</w:t>
            </w:r>
            <w:r>
              <w:rPr>
                <w:rFonts w:hint="eastAsia" w:eastAsia="仿宋_GB2312"/>
                <w:szCs w:val="21"/>
              </w:rPr>
              <w:t>资金的拨付是否有完整的审批程序和手续；</w:t>
            </w:r>
            <w:r>
              <w:rPr>
                <w:rFonts w:hint="eastAsia" w:eastAsia="仿宋_GB2312"/>
                <w:szCs w:val="21"/>
              </w:rPr>
              <w:br w:type="textWrapping"/>
            </w:r>
            <w:r>
              <w:rPr>
                <w:rFonts w:hint="eastAsia" w:eastAsia="仿宋_GB2312" w:cs="宋体"/>
                <w:szCs w:val="21"/>
              </w:rPr>
              <w:t>③</w:t>
            </w:r>
            <w:r>
              <w:rPr>
                <w:rFonts w:hint="eastAsia" w:eastAsia="仿宋_GB2312"/>
                <w:szCs w:val="21"/>
              </w:rPr>
              <w:t>预算支出的重大开支是否经过评估论证；</w:t>
            </w:r>
            <w:r>
              <w:rPr>
                <w:rFonts w:hint="eastAsia" w:eastAsia="仿宋_GB2312"/>
                <w:szCs w:val="21"/>
              </w:rPr>
              <w:br w:type="textWrapping"/>
            </w:r>
            <w:r>
              <w:rPr>
                <w:rFonts w:hint="eastAsia" w:eastAsia="仿宋_GB2312" w:cs="宋体"/>
                <w:szCs w:val="21"/>
              </w:rPr>
              <w:t>④</w:t>
            </w:r>
            <w:r>
              <w:rPr>
                <w:rFonts w:hint="eastAsia" w:eastAsia="仿宋_GB2312"/>
                <w:szCs w:val="21"/>
              </w:rPr>
              <w:t>是否符合部门预算批复的用途；</w:t>
            </w:r>
            <w:r>
              <w:rPr>
                <w:rFonts w:hint="eastAsia" w:eastAsia="仿宋_GB2312"/>
                <w:szCs w:val="21"/>
              </w:rPr>
              <w:br w:type="textWrapping"/>
            </w:r>
            <w:r>
              <w:rPr>
                <w:rFonts w:hint="eastAsia" w:eastAsia="仿宋_GB2312" w:cs="宋体"/>
                <w:szCs w:val="21"/>
              </w:rPr>
              <w:t>⑤</w:t>
            </w:r>
            <w:r>
              <w:rPr>
                <w:rFonts w:hint="eastAsia" w:eastAsia="仿宋_GB2312"/>
                <w:szCs w:val="21"/>
              </w:rPr>
              <w:t>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3"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预决算信</w:t>
            </w:r>
          </w:p>
          <w:p>
            <w:pPr>
              <w:spacing w:line="320" w:lineRule="exact"/>
              <w:jc w:val="center"/>
              <w:rPr>
                <w:rFonts w:eastAsia="仿宋_GB2312"/>
                <w:szCs w:val="21"/>
              </w:rPr>
            </w:pPr>
            <w:r>
              <w:rPr>
                <w:rFonts w:hint="eastAsia" w:eastAsia="仿宋_GB2312"/>
                <w:szCs w:val="21"/>
              </w:rPr>
              <w:t>息公开性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部门是否按照政府信息公开有关规定公开相关预决算信息，用以反映和考核部门预决算管理的公开透明情况。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是否按规定内容公开预决算信息；</w:t>
            </w:r>
            <w:r>
              <w:rPr>
                <w:rFonts w:hint="eastAsia" w:eastAsia="仿宋_GB2312"/>
                <w:szCs w:val="21"/>
              </w:rPr>
              <w:br w:type="textWrapping"/>
            </w:r>
            <w:r>
              <w:rPr>
                <w:rFonts w:hint="eastAsia" w:eastAsia="仿宋_GB2312" w:cs="宋体"/>
                <w:szCs w:val="21"/>
              </w:rPr>
              <w:t>②</w:t>
            </w:r>
            <w:r>
              <w:rPr>
                <w:rFonts w:hint="eastAsia" w:eastAsia="仿宋_GB2312"/>
                <w:szCs w:val="21"/>
              </w:rPr>
              <w:t>是否按规定时限公开预决算信息。</w:t>
            </w:r>
            <w:r>
              <w:rPr>
                <w:rFonts w:hint="eastAsia" w:eastAsia="仿宋_GB2312"/>
                <w:szCs w:val="21"/>
              </w:rPr>
              <w:br w:type="textWrapping"/>
            </w:r>
            <w:r>
              <w:rPr>
                <w:rFonts w:hint="eastAsia" w:eastAsia="仿宋_GB2312"/>
                <w:szCs w:val="21"/>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2" w:hRule="atLeast"/>
          <w:jc w:val="center"/>
        </w:trPr>
        <w:tc>
          <w:tcPr>
            <w:tcW w:w="666" w:type="dxa"/>
            <w:vMerge w:val="restart"/>
            <w:vAlign w:val="center"/>
          </w:tcPr>
          <w:p>
            <w:pPr>
              <w:spacing w:line="320" w:lineRule="exact"/>
              <w:jc w:val="center"/>
              <w:rPr>
                <w:rFonts w:eastAsia="仿宋_GB2312"/>
                <w:szCs w:val="21"/>
              </w:rPr>
            </w:pPr>
            <w:r>
              <w:rPr>
                <w:rFonts w:hint="eastAsia" w:eastAsia="仿宋_GB2312"/>
                <w:szCs w:val="21"/>
              </w:rPr>
              <w:t>过</w:t>
            </w:r>
          </w:p>
          <w:p>
            <w:pPr>
              <w:spacing w:line="320" w:lineRule="exact"/>
              <w:jc w:val="center"/>
              <w:rPr>
                <w:rFonts w:eastAsia="仿宋_GB2312"/>
                <w:szCs w:val="21"/>
              </w:rPr>
            </w:pPr>
            <w:r>
              <w:rPr>
                <w:rFonts w:hint="eastAsia" w:eastAsia="仿宋_GB2312"/>
                <w:szCs w:val="21"/>
              </w:rPr>
              <w:t>程</w:t>
            </w:r>
          </w:p>
        </w:tc>
        <w:tc>
          <w:tcPr>
            <w:tcW w:w="866" w:type="dxa"/>
            <w:vAlign w:val="center"/>
          </w:tcPr>
          <w:p>
            <w:pPr>
              <w:spacing w:line="320" w:lineRule="exact"/>
              <w:jc w:val="center"/>
              <w:rPr>
                <w:rFonts w:eastAsia="仿宋_GB2312"/>
                <w:szCs w:val="21"/>
              </w:rPr>
            </w:pPr>
            <w:r>
              <w:rPr>
                <w:rFonts w:hint="eastAsia" w:eastAsia="仿宋_GB2312"/>
                <w:szCs w:val="21"/>
              </w:rPr>
              <w:t>预算</w:t>
            </w:r>
          </w:p>
          <w:p>
            <w:pPr>
              <w:spacing w:line="320" w:lineRule="exact"/>
              <w:jc w:val="center"/>
              <w:rPr>
                <w:rFonts w:eastAsia="仿宋_GB2312"/>
                <w:szCs w:val="21"/>
              </w:rPr>
            </w:pPr>
            <w:r>
              <w:rPr>
                <w:rFonts w:hint="eastAsia" w:eastAsia="仿宋_GB2312"/>
                <w:szCs w:val="21"/>
              </w:rPr>
              <w:t>管理</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基础信息</w:t>
            </w:r>
          </w:p>
          <w:p>
            <w:pPr>
              <w:spacing w:line="320" w:lineRule="exact"/>
              <w:jc w:val="center"/>
              <w:rPr>
                <w:rFonts w:eastAsia="仿宋_GB2312"/>
                <w:szCs w:val="21"/>
              </w:rPr>
            </w:pPr>
            <w:r>
              <w:rPr>
                <w:rFonts w:hint="eastAsia" w:eastAsia="仿宋_GB2312"/>
                <w:szCs w:val="21"/>
              </w:rPr>
              <w:t>完善性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部门基础信息是否完善，用以反映和考核基础信息对预算管理工作的支撑情况。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基础数据信息和会计信息资料是否真实；</w:t>
            </w:r>
            <w:r>
              <w:rPr>
                <w:rFonts w:hint="eastAsia" w:eastAsia="仿宋_GB2312"/>
                <w:szCs w:val="21"/>
              </w:rPr>
              <w:br w:type="textWrapping"/>
            </w:r>
            <w:r>
              <w:rPr>
                <w:rFonts w:hint="eastAsia" w:eastAsia="仿宋_GB2312" w:cs="宋体"/>
                <w:szCs w:val="21"/>
              </w:rPr>
              <w:t>②</w:t>
            </w:r>
            <w:r>
              <w:rPr>
                <w:rFonts w:hint="eastAsia" w:eastAsia="仿宋_GB2312"/>
                <w:szCs w:val="21"/>
              </w:rPr>
              <w:t>基础数据信息和会计信息资料是否完整；</w:t>
            </w:r>
            <w:r>
              <w:rPr>
                <w:rFonts w:hint="eastAsia" w:eastAsia="仿宋_GB2312"/>
                <w:szCs w:val="21"/>
              </w:rPr>
              <w:br w:type="textWrapping"/>
            </w:r>
            <w:r>
              <w:rPr>
                <w:rFonts w:hint="eastAsia" w:eastAsia="仿宋_GB2312" w:cs="宋体"/>
                <w:szCs w:val="21"/>
              </w:rPr>
              <w:t>③</w:t>
            </w:r>
            <w:r>
              <w:rPr>
                <w:rFonts w:hint="eastAsia" w:eastAsia="仿宋_GB2312"/>
                <w:szCs w:val="21"/>
              </w:rPr>
              <w:t>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9" w:hRule="atLeast"/>
          <w:jc w:val="center"/>
        </w:trPr>
        <w:tc>
          <w:tcPr>
            <w:tcW w:w="666" w:type="dxa"/>
            <w:vMerge w:val="continue"/>
            <w:tcMar>
              <w:top w:w="10" w:type="dxa"/>
              <w:left w:w="10" w:type="dxa"/>
              <w:bottom w:w="0" w:type="dxa"/>
              <w:right w:w="10" w:type="dxa"/>
            </w:tcMar>
            <w:textDirection w:val="tbRlV"/>
            <w:vAlign w:val="center"/>
          </w:tcPr>
          <w:p>
            <w:pPr>
              <w:spacing w:line="320" w:lineRule="exact"/>
              <w:jc w:val="center"/>
              <w:rPr>
                <w:rFonts w:eastAsia="仿宋_GB2312"/>
                <w:szCs w:val="21"/>
              </w:rPr>
            </w:pPr>
          </w:p>
        </w:tc>
        <w:tc>
          <w:tcPr>
            <w:tcW w:w="866"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资产</w:t>
            </w:r>
            <w:r>
              <w:rPr>
                <w:rFonts w:hint="eastAsia" w:eastAsia="仿宋_GB2312"/>
                <w:szCs w:val="21"/>
              </w:rPr>
              <w:br w:type="textWrapping"/>
            </w:r>
            <w:r>
              <w:rPr>
                <w:rFonts w:hint="eastAsia" w:eastAsia="仿宋_GB2312"/>
                <w:szCs w:val="21"/>
              </w:rPr>
              <w:t>管理</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管理制度</w:t>
            </w:r>
          </w:p>
          <w:p>
            <w:pPr>
              <w:spacing w:line="320" w:lineRule="exact"/>
              <w:jc w:val="center"/>
              <w:rPr>
                <w:rFonts w:eastAsia="仿宋_GB2312"/>
                <w:szCs w:val="21"/>
              </w:rPr>
            </w:pPr>
            <w:r>
              <w:rPr>
                <w:rFonts w:hint="eastAsia" w:eastAsia="仿宋_GB2312"/>
                <w:szCs w:val="21"/>
              </w:rPr>
              <w:t>健全性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部门为加强资产管理、规范资产管理行为而制定的管理制度是否健全完整，用以反映和考核部门资产管理制度对完成主要职责或促进社会发展的保障情况。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 xml:space="preserve">是否已制定或具有资产管理制度；           </w:t>
            </w:r>
            <w:r>
              <w:rPr>
                <w:rFonts w:hint="eastAsia" w:eastAsia="仿宋_GB2312" w:cs="宋体"/>
                <w:szCs w:val="21"/>
              </w:rPr>
              <w:t>②</w:t>
            </w:r>
            <w:r>
              <w:rPr>
                <w:rFonts w:hint="eastAsia" w:eastAsia="仿宋_GB2312"/>
                <w:szCs w:val="21"/>
              </w:rPr>
              <w:t>相关资金管理制度是否合法、合规、完整；</w:t>
            </w:r>
            <w:r>
              <w:rPr>
                <w:rFonts w:hint="eastAsia" w:eastAsia="仿宋_GB2312"/>
                <w:szCs w:val="21"/>
              </w:rPr>
              <w:br w:type="textWrapping"/>
            </w:r>
            <w:r>
              <w:rPr>
                <w:rFonts w:hint="eastAsia" w:eastAsia="仿宋_GB2312" w:cs="宋体"/>
                <w:szCs w:val="21"/>
              </w:rPr>
              <w:t>③</w:t>
            </w:r>
            <w:r>
              <w:rPr>
                <w:rFonts w:hint="eastAsia" w:eastAsia="仿宋_GB2312"/>
                <w:szCs w:val="21"/>
              </w:rPr>
              <w:t>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7" w:hRule="atLeast"/>
          <w:jc w:val="center"/>
        </w:trPr>
        <w:tc>
          <w:tcPr>
            <w:tcW w:w="666" w:type="dxa"/>
            <w:vMerge w:val="continue"/>
            <w:vAlign w:val="center"/>
          </w:tcPr>
          <w:p>
            <w:pPr>
              <w:spacing w:line="320" w:lineRule="exact"/>
              <w:jc w:val="center"/>
              <w:rPr>
                <w:rFonts w:eastAsia="仿宋_GB2312"/>
                <w:szCs w:val="21"/>
              </w:rPr>
            </w:pPr>
          </w:p>
        </w:tc>
        <w:tc>
          <w:tcPr>
            <w:tcW w:w="866" w:type="dxa"/>
            <w:vMerge w:val="restart"/>
            <w:vAlign w:val="center"/>
          </w:tcPr>
          <w:p>
            <w:pPr>
              <w:spacing w:line="320" w:lineRule="exact"/>
              <w:jc w:val="center"/>
              <w:rPr>
                <w:rFonts w:eastAsia="仿宋_GB2312"/>
                <w:szCs w:val="21"/>
              </w:rPr>
            </w:pPr>
            <w:r>
              <w:rPr>
                <w:rFonts w:hint="eastAsia" w:eastAsia="仿宋_GB2312"/>
                <w:szCs w:val="21"/>
              </w:rPr>
              <w:t>资产</w:t>
            </w:r>
          </w:p>
          <w:p>
            <w:pPr>
              <w:spacing w:line="320" w:lineRule="exact"/>
              <w:jc w:val="center"/>
              <w:rPr>
                <w:rFonts w:eastAsia="仿宋_GB2312"/>
                <w:szCs w:val="21"/>
              </w:rPr>
            </w:pPr>
            <w:r>
              <w:rPr>
                <w:rFonts w:hint="eastAsia" w:eastAsia="仿宋_GB2312"/>
                <w:szCs w:val="21"/>
              </w:rPr>
              <w:t>管理</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资产管理</w:t>
            </w:r>
          </w:p>
          <w:p>
            <w:pPr>
              <w:spacing w:line="320" w:lineRule="exact"/>
              <w:jc w:val="center"/>
              <w:rPr>
                <w:rFonts w:eastAsia="仿宋_GB2312"/>
                <w:szCs w:val="21"/>
              </w:rPr>
            </w:pPr>
            <w:r>
              <w:rPr>
                <w:rFonts w:hint="eastAsia" w:eastAsia="仿宋_GB2312"/>
                <w:szCs w:val="21"/>
              </w:rPr>
              <w:t>安全性</w:t>
            </w:r>
          </w:p>
        </w:tc>
        <w:tc>
          <w:tcPr>
            <w:tcW w:w="2871" w:type="dxa"/>
            <w:tcMar>
              <w:top w:w="10" w:type="dxa"/>
              <w:left w:w="10" w:type="dxa"/>
              <w:bottom w:w="0" w:type="dxa"/>
              <w:right w:w="10" w:type="dxa"/>
            </w:tcMar>
            <w:vAlign w:val="center"/>
          </w:tcPr>
          <w:p>
            <w:pPr>
              <w:tabs>
                <w:tab w:val="left" w:pos="761"/>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部门的资产是否保存完整、使用合规、配置合理、处置规范、收入及时足额上缴，用以反映和考核部门资产安全运行情况。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资产保存是否完整；</w:t>
            </w:r>
            <w:r>
              <w:rPr>
                <w:rFonts w:hint="eastAsia" w:eastAsia="仿宋_GB2312"/>
                <w:szCs w:val="21"/>
              </w:rPr>
              <w:br w:type="textWrapping"/>
            </w:r>
            <w:r>
              <w:rPr>
                <w:rFonts w:hint="eastAsia" w:eastAsia="仿宋_GB2312" w:cs="宋体"/>
                <w:szCs w:val="21"/>
              </w:rPr>
              <w:t>②</w:t>
            </w:r>
            <w:r>
              <w:rPr>
                <w:rFonts w:hint="eastAsia" w:eastAsia="仿宋_GB2312"/>
                <w:szCs w:val="21"/>
              </w:rPr>
              <w:t>资产配置是否合理；</w:t>
            </w:r>
            <w:r>
              <w:rPr>
                <w:rFonts w:hint="eastAsia" w:eastAsia="仿宋_GB2312"/>
                <w:szCs w:val="21"/>
              </w:rPr>
              <w:br w:type="textWrapping"/>
            </w:r>
            <w:r>
              <w:rPr>
                <w:rFonts w:hint="eastAsia" w:eastAsia="仿宋_GB2312" w:cs="宋体"/>
                <w:szCs w:val="21"/>
              </w:rPr>
              <w:t>③</w:t>
            </w:r>
            <w:r>
              <w:rPr>
                <w:rFonts w:hint="eastAsia" w:eastAsia="仿宋_GB2312"/>
                <w:szCs w:val="21"/>
              </w:rPr>
              <w:t>资产处置是否规范；</w:t>
            </w:r>
            <w:r>
              <w:rPr>
                <w:rFonts w:hint="eastAsia" w:eastAsia="仿宋_GB2312"/>
                <w:szCs w:val="21"/>
              </w:rPr>
              <w:br w:type="textWrapping"/>
            </w:r>
            <w:r>
              <w:rPr>
                <w:rFonts w:hint="eastAsia" w:eastAsia="仿宋_GB2312" w:cs="宋体"/>
                <w:szCs w:val="21"/>
              </w:rPr>
              <w:t>④</w:t>
            </w:r>
            <w:r>
              <w:rPr>
                <w:rFonts w:hint="eastAsia" w:eastAsia="仿宋_GB2312"/>
                <w:szCs w:val="21"/>
              </w:rPr>
              <w:t>资产账务管理是否合规，是否账实相符；</w:t>
            </w:r>
            <w:r>
              <w:rPr>
                <w:rFonts w:hint="eastAsia" w:eastAsia="仿宋_GB2312"/>
                <w:szCs w:val="21"/>
              </w:rPr>
              <w:br w:type="textWrapping"/>
            </w:r>
            <w:r>
              <w:rPr>
                <w:rFonts w:hint="eastAsia" w:eastAsia="仿宋_GB2312" w:cs="宋体"/>
                <w:szCs w:val="21"/>
              </w:rPr>
              <w:t>⑤</w:t>
            </w:r>
            <w:r>
              <w:rPr>
                <w:rFonts w:hint="eastAsia" w:eastAsia="仿宋_GB2312"/>
                <w:szCs w:val="21"/>
              </w:rPr>
              <w:t>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5"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固定资产</w:t>
            </w:r>
          </w:p>
          <w:p>
            <w:pPr>
              <w:spacing w:line="320" w:lineRule="exact"/>
              <w:jc w:val="center"/>
              <w:rPr>
                <w:rFonts w:eastAsia="仿宋_GB2312"/>
                <w:szCs w:val="21"/>
              </w:rPr>
            </w:pPr>
            <w:r>
              <w:rPr>
                <w:rFonts w:hint="eastAsia" w:eastAsia="仿宋_GB2312"/>
                <w:szCs w:val="21"/>
              </w:rPr>
              <w:t>利用率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部门实际在用固定资产总额与所有固定资产总额的比率，用以反映和考核部门固定资产使用效率程度。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固定资产利用率=（实际在用固定资产总额/所有固定资产总额）×100%。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9" w:hRule="atLeast"/>
          <w:jc w:val="center"/>
        </w:trPr>
        <w:tc>
          <w:tcPr>
            <w:tcW w:w="666" w:type="dxa"/>
            <w:tcMar>
              <w:top w:w="10" w:type="dxa"/>
              <w:left w:w="10" w:type="dxa"/>
              <w:bottom w:w="0" w:type="dxa"/>
              <w:right w:w="10" w:type="dxa"/>
            </w:tcMar>
            <w:textDirection w:val="tbRlV"/>
            <w:vAlign w:val="center"/>
          </w:tcPr>
          <w:p>
            <w:pPr>
              <w:spacing w:line="320" w:lineRule="exact"/>
              <w:jc w:val="center"/>
              <w:rPr>
                <w:rFonts w:eastAsia="仿宋_GB2312"/>
                <w:szCs w:val="21"/>
              </w:rPr>
            </w:pPr>
            <w:r>
              <w:rPr>
                <w:rFonts w:hint="eastAsia" w:eastAsia="仿宋_GB2312"/>
                <w:szCs w:val="21"/>
              </w:rPr>
              <w:t>产   出</w:t>
            </w:r>
          </w:p>
        </w:tc>
        <w:tc>
          <w:tcPr>
            <w:tcW w:w="866"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职责</w:t>
            </w:r>
            <w:r>
              <w:rPr>
                <w:rFonts w:hint="eastAsia" w:eastAsia="仿宋_GB2312"/>
                <w:szCs w:val="21"/>
              </w:rPr>
              <w:br w:type="textWrapping"/>
            </w:r>
            <w:r>
              <w:rPr>
                <w:rFonts w:hint="eastAsia" w:eastAsia="仿宋_GB2312"/>
                <w:szCs w:val="21"/>
              </w:rPr>
              <w:t>履行</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实际</w:t>
            </w:r>
          </w:p>
          <w:p>
            <w:pPr>
              <w:spacing w:line="320" w:lineRule="exact"/>
              <w:jc w:val="center"/>
              <w:rPr>
                <w:rFonts w:eastAsia="仿宋_GB2312"/>
                <w:szCs w:val="21"/>
              </w:rPr>
            </w:pPr>
            <w:r>
              <w:rPr>
                <w:rFonts w:hint="eastAsia" w:eastAsia="仿宋_GB2312"/>
                <w:szCs w:val="21"/>
              </w:rPr>
              <w:t>完成率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部门履行职责而实际完成工作数与计划工作数的比率，用以反映和考核部门履职工作任务目标的实现程度。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实际完成率=（实际完成工作数/计划工作数）×100%。</w:t>
            </w:r>
            <w:r>
              <w:rPr>
                <w:rFonts w:hint="eastAsia" w:eastAsia="仿宋_GB2312"/>
                <w:szCs w:val="21"/>
              </w:rPr>
              <w:br w:type="textWrapping"/>
            </w:r>
            <w:r>
              <w:rPr>
                <w:rFonts w:hint="eastAsia" w:eastAsia="仿宋_GB2312"/>
                <w:szCs w:val="21"/>
              </w:rPr>
              <w:t>实际完成工作数：一定时期（年度或规划期）内部门实际完成工作任务的数量。</w:t>
            </w:r>
            <w:r>
              <w:rPr>
                <w:rFonts w:hint="eastAsia" w:eastAsia="仿宋_GB2312"/>
                <w:szCs w:val="21"/>
              </w:rPr>
              <w:br w:type="textWrapping"/>
            </w:r>
            <w:r>
              <w:rPr>
                <w:rFonts w:hint="eastAsia" w:eastAsia="仿宋_GB2312"/>
                <w:szCs w:val="21"/>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5" w:hRule="atLeast"/>
          <w:jc w:val="center"/>
        </w:trPr>
        <w:tc>
          <w:tcPr>
            <w:tcW w:w="666" w:type="dxa"/>
            <w:vMerge w:val="restart"/>
            <w:textDirection w:val="tbRlV"/>
            <w:vAlign w:val="center"/>
          </w:tcPr>
          <w:p>
            <w:pPr>
              <w:spacing w:line="320" w:lineRule="exact"/>
              <w:ind w:left="113"/>
              <w:jc w:val="center"/>
              <w:rPr>
                <w:rFonts w:eastAsia="仿宋_GB2312"/>
                <w:szCs w:val="21"/>
              </w:rPr>
            </w:pPr>
            <w:r>
              <w:rPr>
                <w:rFonts w:hint="eastAsia" w:eastAsia="仿宋_GB2312"/>
                <w:szCs w:val="21"/>
              </w:rPr>
              <w:t>产   出</w:t>
            </w:r>
          </w:p>
        </w:tc>
        <w:tc>
          <w:tcPr>
            <w:tcW w:w="866" w:type="dxa"/>
            <w:vMerge w:val="restart"/>
            <w:vAlign w:val="center"/>
          </w:tcPr>
          <w:p>
            <w:pPr>
              <w:spacing w:line="320" w:lineRule="exact"/>
              <w:jc w:val="center"/>
              <w:rPr>
                <w:rFonts w:eastAsia="仿宋_GB2312"/>
                <w:szCs w:val="21"/>
              </w:rPr>
            </w:pPr>
            <w:r>
              <w:rPr>
                <w:rFonts w:hint="eastAsia" w:eastAsia="仿宋_GB2312"/>
                <w:szCs w:val="21"/>
              </w:rPr>
              <w:t>职责</w:t>
            </w:r>
            <w:r>
              <w:rPr>
                <w:rFonts w:hint="eastAsia" w:eastAsia="仿宋_GB2312"/>
                <w:szCs w:val="21"/>
              </w:rPr>
              <w:br w:type="textWrapping"/>
            </w:r>
            <w:r>
              <w:rPr>
                <w:rFonts w:hint="eastAsia" w:eastAsia="仿宋_GB2312"/>
                <w:szCs w:val="21"/>
              </w:rPr>
              <w:t>履行</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完成</w:t>
            </w:r>
          </w:p>
          <w:p>
            <w:pPr>
              <w:spacing w:line="320" w:lineRule="exact"/>
              <w:jc w:val="center"/>
              <w:rPr>
                <w:rFonts w:eastAsia="仿宋_GB2312"/>
                <w:szCs w:val="21"/>
              </w:rPr>
            </w:pPr>
            <w:r>
              <w:rPr>
                <w:rFonts w:hint="eastAsia" w:eastAsia="仿宋_GB2312"/>
                <w:szCs w:val="21"/>
              </w:rPr>
              <w:t>及时率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部门在规定时限内及时完成的实际工作数与计划工作数的比率,用以反映和考核部门履职时效目标的实现程度。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完成及时率=（及时完成实际工作数/计划工作数）×100%。</w:t>
            </w:r>
            <w:r>
              <w:rPr>
                <w:rFonts w:hint="eastAsia" w:eastAsia="仿宋_GB2312"/>
                <w:szCs w:val="21"/>
              </w:rPr>
              <w:br w:type="textWrapping"/>
            </w:r>
            <w:r>
              <w:rPr>
                <w:rFonts w:hint="eastAsia" w:eastAsia="仿宋_GB2312"/>
                <w:szCs w:val="21"/>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质量</w:t>
            </w:r>
          </w:p>
          <w:p>
            <w:pPr>
              <w:spacing w:line="320" w:lineRule="exact"/>
              <w:jc w:val="center"/>
              <w:rPr>
                <w:rFonts w:eastAsia="仿宋_GB2312"/>
                <w:szCs w:val="21"/>
              </w:rPr>
            </w:pPr>
            <w:r>
              <w:rPr>
                <w:rFonts w:hint="eastAsia" w:eastAsia="仿宋_GB2312"/>
                <w:szCs w:val="21"/>
              </w:rPr>
              <w:t>达标率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达到质量标准（绩效标准值）的实际工作数与计划工作数的比率,用以反映和考核部门履职质量目标的实现程度。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质量达标率=（质量达标实际工作数/计划工作数）×100%。</w:t>
            </w:r>
            <w:r>
              <w:rPr>
                <w:rFonts w:hint="eastAsia" w:eastAsia="仿宋_GB2312"/>
                <w:szCs w:val="21"/>
              </w:rPr>
              <w:br w:type="textWrapping"/>
            </w:r>
            <w:r>
              <w:rPr>
                <w:rFonts w:hint="eastAsia" w:eastAsia="仿宋_GB2312"/>
                <w:szCs w:val="21"/>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重点工作</w:t>
            </w:r>
          </w:p>
          <w:p>
            <w:pPr>
              <w:spacing w:line="320" w:lineRule="exact"/>
              <w:jc w:val="center"/>
              <w:rPr>
                <w:rFonts w:eastAsia="仿宋_GB2312"/>
                <w:szCs w:val="21"/>
              </w:rPr>
            </w:pPr>
            <w:r>
              <w:rPr>
                <w:rFonts w:hint="eastAsia" w:eastAsia="仿宋_GB2312"/>
                <w:szCs w:val="21"/>
              </w:rPr>
              <w:t>办结率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部门年度重点工作实际完成数与交办或下达数的比率，用以反映部门对重点工作的办理落实程度。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重点工作办结率=（重点工作实际完成数/交办或下达数）×100%。</w:t>
            </w:r>
            <w:r>
              <w:rPr>
                <w:rFonts w:hint="eastAsia" w:eastAsia="仿宋_GB2312"/>
                <w:szCs w:val="21"/>
              </w:rPr>
              <w:br w:type="textWrapping"/>
            </w:r>
            <w:r>
              <w:rPr>
                <w:rFonts w:hint="eastAsia" w:eastAsia="仿宋_GB2312"/>
                <w:szCs w:val="21"/>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66" w:type="dxa"/>
            <w:vMerge w:val="restart"/>
            <w:tcMar>
              <w:top w:w="10" w:type="dxa"/>
              <w:left w:w="10" w:type="dxa"/>
              <w:bottom w:w="0" w:type="dxa"/>
              <w:right w:w="10" w:type="dxa"/>
            </w:tcMar>
            <w:textDirection w:val="tbRlV"/>
            <w:vAlign w:val="center"/>
          </w:tcPr>
          <w:p>
            <w:pPr>
              <w:spacing w:line="320" w:lineRule="exact"/>
              <w:jc w:val="center"/>
              <w:rPr>
                <w:rFonts w:eastAsia="仿宋_GB2312"/>
                <w:szCs w:val="21"/>
              </w:rPr>
            </w:pPr>
            <w:r>
              <w:rPr>
                <w:rFonts w:hint="eastAsia" w:eastAsia="仿宋_GB2312"/>
                <w:szCs w:val="21"/>
              </w:rPr>
              <w:t>效   果</w:t>
            </w:r>
          </w:p>
        </w:tc>
        <w:tc>
          <w:tcPr>
            <w:tcW w:w="866" w:type="dxa"/>
            <w:vMerge w:val="restart"/>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履职</w:t>
            </w:r>
            <w:r>
              <w:rPr>
                <w:rFonts w:hint="eastAsia" w:eastAsia="仿宋_GB2312"/>
                <w:szCs w:val="21"/>
              </w:rPr>
              <w:br w:type="textWrapping"/>
            </w:r>
            <w:r>
              <w:rPr>
                <w:rFonts w:hint="eastAsia" w:eastAsia="仿宋_GB2312"/>
                <w:szCs w:val="21"/>
              </w:rPr>
              <w:t>效益</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经济效益</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部门履行职责对经济发展所带来的直接或间接影响。</w:t>
            </w:r>
          </w:p>
        </w:tc>
        <w:tc>
          <w:tcPr>
            <w:tcW w:w="4238" w:type="dxa"/>
            <w:vMerge w:val="restart"/>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社会效益</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部门履行职责对社会发展所带来的直接或间接影响。</w:t>
            </w:r>
          </w:p>
        </w:tc>
        <w:tc>
          <w:tcPr>
            <w:tcW w:w="4238" w:type="dxa"/>
            <w:vMerge w:val="continue"/>
            <w:vAlign w:val="center"/>
          </w:tcPr>
          <w:p>
            <w:pPr>
              <w:spacing w:line="320" w:lineRule="exact"/>
              <w:ind w:left="105" w:leftChars="50" w:right="105" w:rightChars="5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生态效益</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部门履行职责对生态环境所带来的直接或间接影响。</w:t>
            </w:r>
          </w:p>
        </w:tc>
        <w:tc>
          <w:tcPr>
            <w:tcW w:w="4238" w:type="dxa"/>
            <w:vMerge w:val="continue"/>
            <w:vAlign w:val="center"/>
          </w:tcPr>
          <w:p>
            <w:pPr>
              <w:spacing w:line="320" w:lineRule="exact"/>
              <w:ind w:left="105" w:leftChars="50" w:right="105" w:rightChars="5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2"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社会公众</w:t>
            </w:r>
          </w:p>
          <w:p>
            <w:pPr>
              <w:spacing w:line="320" w:lineRule="exact"/>
              <w:jc w:val="center"/>
              <w:rPr>
                <w:rFonts w:eastAsia="仿宋_GB2312"/>
                <w:szCs w:val="21"/>
              </w:rPr>
            </w:pPr>
            <w:r>
              <w:rPr>
                <w:rFonts w:hint="eastAsia" w:eastAsia="仿宋_GB2312"/>
                <w:szCs w:val="21"/>
              </w:rPr>
              <w:t>或服务对</w:t>
            </w:r>
          </w:p>
          <w:p>
            <w:pPr>
              <w:spacing w:line="320" w:lineRule="exact"/>
              <w:jc w:val="center"/>
              <w:rPr>
                <w:rFonts w:eastAsia="仿宋_GB2312"/>
                <w:szCs w:val="21"/>
              </w:rPr>
            </w:pPr>
            <w:r>
              <w:rPr>
                <w:rFonts w:hint="eastAsia" w:eastAsia="仿宋_GB2312"/>
                <w:szCs w:val="21"/>
              </w:rPr>
              <w:t>象满意度</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社会公众或部门的服务对象对部门履职效果的满意程度。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社会公众或服务对象是指部门履行职责而影响到的部门、群体或个人。一般采取社会调查的方式。</w:t>
            </w:r>
          </w:p>
        </w:tc>
      </w:tr>
    </w:tbl>
    <w:p/>
    <w:p>
      <w:pPr>
        <w:spacing w:line="600" w:lineRule="exact"/>
        <w:ind w:firstLine="640" w:firstLineChars="200"/>
        <w:rPr>
          <w:rFonts w:eastAsia="仿宋_GB2312"/>
          <w:sz w:val="32"/>
          <w:szCs w:val="32"/>
        </w:rPr>
      </w:pPr>
    </w:p>
    <w:p>
      <w:pPr>
        <w:spacing w:line="500" w:lineRule="exact"/>
        <w:rPr>
          <w:sz w:val="32"/>
          <w:szCs w:val="32"/>
        </w:rPr>
      </w:pPr>
    </w:p>
    <w:p>
      <w:pPr>
        <w:spacing w:line="500" w:lineRule="exact"/>
        <w:rPr>
          <w:sz w:val="32"/>
          <w:szCs w:val="32"/>
        </w:rPr>
      </w:pPr>
    </w:p>
    <w:p>
      <w:pPr>
        <w:spacing w:line="500" w:lineRule="exact"/>
        <w:rPr>
          <w:sz w:val="32"/>
          <w:szCs w:val="32"/>
        </w:rPr>
      </w:pPr>
    </w:p>
    <w:p/>
    <w:sectPr>
      <w:headerReference r:id="rId5" w:type="first"/>
      <w:headerReference r:id="rId4" w:type="default"/>
      <w:footerReference r:id="rId6" w:type="default"/>
      <w:footerReference r:id="rId7" w:type="even"/>
      <w:pgSz w:w="11905" w:h="16837"/>
      <w:pgMar w:top="1418" w:right="1531" w:bottom="1985" w:left="1531" w:header="851" w:footer="1701" w:gutter="0"/>
      <w:pgNumType w:fmt="numberInDash"/>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imesNewRoman">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D2TH3RAAAA&#10;AwEAAA8AAAAAAAAAAQAgAAAAIgAAAGRycy9kb3ducmV2LnhtbFBLAQIUABQAAAAIAIdO4kB3zlGF&#10;sgEAAFkDAAAOAAAAAAAAAAEAIAAAACABAABkcnMvZTJvRG9jLnhtbFBLBQYAAAAABgAGAFkBAABE&#10;BQAAAAA=&#10;">
          <v:path/>
          <v:fill on="f" focussize="0,0"/>
          <v:stroke on="f" joinstyle="miter"/>
          <v:imagedata o:title=""/>
          <o:lock v:ext="edit"/>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- 17 -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- 36 -</w:t>
    </w:r>
    <w:r>
      <w:rPr>
        <w:rFonts w:ascii="宋体" w:hAnsi="宋体"/>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73FA97"/>
    <w:multiLevelType w:val="singleLevel"/>
    <w:tmpl w:val="B773FA97"/>
    <w:lvl w:ilvl="0" w:tentative="0">
      <w:start w:val="2"/>
      <w:numFmt w:val="chineseCounting"/>
      <w:suff w:val="nothing"/>
      <w:lvlText w:val="（%1）"/>
      <w:lvlJc w:val="left"/>
      <w:rPr>
        <w:rFonts w:hint="eastAsia"/>
      </w:rPr>
    </w:lvl>
  </w:abstractNum>
  <w:abstractNum w:abstractNumId="1">
    <w:nsid w:val="BFF5C6E3"/>
    <w:multiLevelType w:val="singleLevel"/>
    <w:tmpl w:val="BFF5C6E3"/>
    <w:lvl w:ilvl="0" w:tentative="0">
      <w:start w:val="7"/>
      <w:numFmt w:val="chineseCounting"/>
      <w:suff w:val="nothing"/>
      <w:lvlText w:val="%1、"/>
      <w:lvlJc w:val="left"/>
      <w:rPr>
        <w:rFonts w:hint="eastAsia"/>
      </w:rPr>
    </w:lvl>
  </w:abstractNum>
  <w:abstractNum w:abstractNumId="2">
    <w:nsid w:val="CBF6F754"/>
    <w:multiLevelType w:val="singleLevel"/>
    <w:tmpl w:val="CBF6F754"/>
    <w:lvl w:ilvl="0" w:tentative="0">
      <w:start w:val="2"/>
      <w:numFmt w:val="chineseCounting"/>
      <w:suff w:val="nothing"/>
      <w:lvlText w:val="%1、"/>
      <w:lvlJc w:val="left"/>
      <w:rPr>
        <w:rFonts w:hint="eastAsia"/>
      </w:rPr>
    </w:lvl>
  </w:abstractNum>
  <w:abstractNum w:abstractNumId="3">
    <w:nsid w:val="F16ACE2A"/>
    <w:multiLevelType w:val="singleLevel"/>
    <w:tmpl w:val="F16ACE2A"/>
    <w:lvl w:ilvl="0" w:tentative="0">
      <w:start w:val="11"/>
      <w:numFmt w:val="chineseCounting"/>
      <w:suff w:val="nothing"/>
      <w:lvlText w:val="%1、"/>
      <w:lvlJc w:val="left"/>
      <w:rPr>
        <w:rFonts w:hint="eastAsia"/>
      </w:rPr>
    </w:lvl>
  </w:abstractNum>
  <w:abstractNum w:abstractNumId="4">
    <w:nsid w:val="7A06CB65"/>
    <w:multiLevelType w:val="singleLevel"/>
    <w:tmpl w:val="7A06CB65"/>
    <w:lvl w:ilvl="0" w:tentative="0">
      <w:start w:val="3"/>
      <w:numFmt w:val="chineseCounting"/>
      <w:suff w:val="nothing"/>
      <w:lvlText w:val="%1、"/>
      <w:lvlJc w:val="left"/>
      <w:rPr>
        <w:rFonts w:hint="eastAsia"/>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2332AF8"/>
    <w:rsid w:val="00153BEE"/>
    <w:rsid w:val="001959FA"/>
    <w:rsid w:val="001F4F4A"/>
    <w:rsid w:val="00210293"/>
    <w:rsid w:val="00225886"/>
    <w:rsid w:val="0029644E"/>
    <w:rsid w:val="002E3CB8"/>
    <w:rsid w:val="00324589"/>
    <w:rsid w:val="00335517"/>
    <w:rsid w:val="00430272"/>
    <w:rsid w:val="0043395D"/>
    <w:rsid w:val="00490A67"/>
    <w:rsid w:val="00494877"/>
    <w:rsid w:val="00646CB1"/>
    <w:rsid w:val="006C2C0B"/>
    <w:rsid w:val="006E69B0"/>
    <w:rsid w:val="00720BE7"/>
    <w:rsid w:val="00731D06"/>
    <w:rsid w:val="007F68A1"/>
    <w:rsid w:val="008254AE"/>
    <w:rsid w:val="008F0E5F"/>
    <w:rsid w:val="00957447"/>
    <w:rsid w:val="00A427C0"/>
    <w:rsid w:val="00A52AE1"/>
    <w:rsid w:val="00AC2FF8"/>
    <w:rsid w:val="00B208EC"/>
    <w:rsid w:val="00BA20F5"/>
    <w:rsid w:val="00C04513"/>
    <w:rsid w:val="00CA1921"/>
    <w:rsid w:val="00CE369C"/>
    <w:rsid w:val="00D97E7B"/>
    <w:rsid w:val="00DA1E0C"/>
    <w:rsid w:val="00E611E9"/>
    <w:rsid w:val="00F306C9"/>
    <w:rsid w:val="00F31620"/>
    <w:rsid w:val="00F34737"/>
    <w:rsid w:val="00F47234"/>
    <w:rsid w:val="03A6538B"/>
    <w:rsid w:val="0BA45AF3"/>
    <w:rsid w:val="12332AF8"/>
    <w:rsid w:val="198A663C"/>
    <w:rsid w:val="19B0517D"/>
    <w:rsid w:val="19C16891"/>
    <w:rsid w:val="260D1796"/>
    <w:rsid w:val="2FFE307C"/>
    <w:rsid w:val="31693550"/>
    <w:rsid w:val="33456B60"/>
    <w:rsid w:val="34F901D9"/>
    <w:rsid w:val="44CE0DBD"/>
    <w:rsid w:val="4989039A"/>
    <w:rsid w:val="4FDC3273"/>
    <w:rsid w:val="58E14F7A"/>
    <w:rsid w:val="5B6A2FC8"/>
    <w:rsid w:val="62295A69"/>
    <w:rsid w:val="62D707B8"/>
    <w:rsid w:val="74FB32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customStyle="1" w:styleId="10">
    <w:name w:val="批注框文本 字符"/>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064525-8EF1-4468-9FE2-A53054B3386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3292</Words>
  <Characters>18766</Characters>
  <Lines>156</Lines>
  <Paragraphs>44</Paragraphs>
  <TotalTime>198</TotalTime>
  <ScaleCrop>false</ScaleCrop>
  <LinksUpToDate>false</LinksUpToDate>
  <CharactersWithSpaces>22014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2021-06-15T00:32:00Z</dcterms:created>
  <dc:creator>Angel farm 小英</dc:creator>
  <cp:lastModifiedBy>Administrator</cp:lastModifiedBy>
  <cp:lastPrinted>2021-06-29T08:14:00Z</cp:lastPrinted>
  <dcterms:modified xsi:type="dcterms:W3CDTF">2021-09-22T08:21:52Z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B5122435AA9D4C04AB88F79E50ABC493</vt:lpwstr>
  </property>
</Properties>
</file>